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left="720" w:hanging="720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hAnsi="Times New Roman" w:hint="eastAsia"/>
          <w:sz w:val="44"/>
          <w:szCs w:val="44"/>
        </w:rPr>
        <w:t>海关归类预裁定业务办事指南</w:t>
      </w:r>
    </w:p>
    <w:p>
      <w:pPr>
        <w:spacing w:line="560" w:lineRule="exact"/>
        <w:ind w:left="720" w:hanging="720"/>
        <w:rPr>
          <w:rFonts w:ascii="Times New Roman" w:eastAsia="黑体" w:hAnsi="Times New Roman"/>
          <w:sz w:val="32"/>
          <w:szCs w:val="32"/>
        </w:rPr>
      </w:pPr>
    </w:p>
    <w:p>
      <w:pPr>
        <w:spacing w:line="560" w:lineRule="exact"/>
        <w:ind w:leftChars="264" w:left="714" w:hangingChars="25" w:hanging="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一、事项名称：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海关归类预裁定业务</w:t>
      </w:r>
    </w:p>
    <w:p>
      <w:pPr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二、事项类型：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行政确认</w:t>
      </w:r>
    </w:p>
    <w:p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三、设定依据：</w:t>
      </w:r>
    </w:p>
    <w:p>
      <w:pPr>
        <w:pStyle w:val="85"/>
        <w:widowControl/>
        <w:spacing w:line="560" w:lineRule="exact"/>
        <w:ind w:firstLineChars="200" w:firstLine="640"/>
        <w:rPr>
          <w:rFonts w:ascii="方正楷体_GBK" w:eastAsia="方正楷体_GBK" w:hint="eastAsia"/>
          <w:b/>
          <w:bCs/>
          <w:kern w:val="0"/>
          <w:sz w:val="32"/>
          <w:szCs w:val="32"/>
        </w:rPr>
      </w:pPr>
      <w:r>
        <w:rPr>
          <w:rFonts w:ascii="方正楷体_GBK" w:eastAsia="方正楷体_GBK" w:hint="eastAsia"/>
          <w:b/>
          <w:kern w:val="0"/>
          <w:sz w:val="32"/>
          <w:szCs w:val="32"/>
        </w:rPr>
        <w:t>（一）《海关总署关于公布&lt;中华人民共和国海关预裁定管理暂行办法&gt;的令》</w:t>
      </w:r>
      <w:r>
        <w:rPr>
          <w:rFonts w:ascii="方正楷体_GBK" w:eastAsia="方正楷体_GBK" w:hint="eastAsia"/>
          <w:b/>
          <w:bCs/>
          <w:kern w:val="0"/>
          <w:sz w:val="32"/>
          <w:szCs w:val="32"/>
        </w:rPr>
        <w:t>（海关总署令第236号）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黑体_GBK" w:cs="宋体" w:hAnsi="Times New Roman" w:hint="eastAsia"/>
          <w:kern w:val="0"/>
          <w:sz w:val="32"/>
          <w:szCs w:val="32"/>
        </w:rPr>
        <w:t>第三条</w:t>
      </w:r>
      <w:r>
        <w:rPr>
          <w:rFonts w:ascii="Times New Roman" w:eastAsia="方正仿宋_GBK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在货物实际进出口前，申请人可以就下列海关事务申请预裁定：进出口货物的商品归类；进出口货物的原产地或者原产资格；进口货物完税价格相关要素、估价方法；海关总署规定的其他海关事务。</w:t>
      </w:r>
    </w:p>
    <w:p>
      <w:pPr>
        <w:pStyle w:val="77"/>
        <w:widowControl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cs="宋体" w:hint="eastAsia"/>
          <w:bCs/>
          <w:kern w:val="0"/>
          <w:sz w:val="32"/>
          <w:szCs w:val="32"/>
        </w:rPr>
        <w:t>第五条</w:t>
      </w:r>
      <w:r>
        <w:rPr>
          <w:rFonts w:eastAsia="方正仿宋_GBK" w:hint="eastAsia"/>
          <w:bCs/>
          <w:sz w:val="32"/>
          <w:szCs w:val="32"/>
        </w:rPr>
        <w:t xml:space="preserve"> 申请人申请预裁定的，应当提交《中华人民共和国海关预裁定申请书》（以下简称《预裁定申请书》）以及海关要求的有关材料。材料为外文的，申请人应当同时提交符合海关要求的中文译本。</w:t>
      </w:r>
    </w:p>
    <w:p>
      <w:pPr>
        <w:pStyle w:val="77"/>
        <w:widowControl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申请人应当对提交材料的真实性、准确性、完整性、规范性承担法律责任。</w:t>
      </w:r>
    </w:p>
    <w:p>
      <w:pPr>
        <w:adjustRightInd w:val="0"/>
        <w:snapToGrid w:val="0"/>
        <w:spacing w:line="560" w:lineRule="exact"/>
        <w:ind w:firstLineChars="200" w:firstLine="640"/>
        <w:jc w:val="both"/>
        <w:rPr>
          <w:rFonts w:ascii="方正楷体_GBK" w:eastAsia="方正楷体_GBK"/>
          <w:b/>
          <w:kern w:val="0"/>
          <w:sz w:val="32"/>
          <w:szCs w:val="32"/>
        </w:rPr>
      </w:pPr>
      <w:r>
        <w:rPr>
          <w:rFonts w:ascii="方正楷体_GBK" w:eastAsia="方正楷体_GBK" w:hint="eastAsia"/>
          <w:b/>
          <w:kern w:val="0"/>
          <w:sz w:val="32"/>
          <w:szCs w:val="32"/>
        </w:rPr>
        <w:t>（二）《海关总署关于实施</w:t>
      </w:r>
      <w:r>
        <w:rPr>
          <w:rFonts w:ascii="方正楷体_GBK" w:eastAsia="方正楷体_GBK"/>
          <w:b/>
          <w:kern w:val="0"/>
          <w:sz w:val="32"/>
          <w:szCs w:val="32"/>
        </w:rPr>
        <w:t>&lt;</w:t>
      </w:r>
      <w:r>
        <w:rPr>
          <w:rFonts w:ascii="方正楷体_GBK" w:eastAsia="方正楷体_GBK" w:hint="eastAsia"/>
          <w:b/>
          <w:kern w:val="0"/>
          <w:sz w:val="32"/>
          <w:szCs w:val="32"/>
        </w:rPr>
        <w:t>中华人民共和国海关预裁定管理暂行办法</w:t>
      </w:r>
      <w:r>
        <w:rPr>
          <w:rFonts w:ascii="方正楷体_GBK" w:eastAsia="方正楷体_GBK"/>
          <w:b/>
          <w:kern w:val="0"/>
          <w:sz w:val="32"/>
          <w:szCs w:val="32"/>
        </w:rPr>
        <w:t>&gt;</w:t>
      </w:r>
      <w:r>
        <w:rPr>
          <w:rFonts w:ascii="方正楷体_GBK" w:eastAsia="方正楷体_GBK" w:hint="eastAsia"/>
          <w:b/>
          <w:kern w:val="0"/>
          <w:sz w:val="32"/>
          <w:szCs w:val="32"/>
        </w:rPr>
        <w:t>有关事项的公告》</w:t>
      </w:r>
      <w:r>
        <w:rPr>
          <w:rFonts w:ascii="方正楷体_GBK" w:eastAsia="方正楷体_GBK" w:hint="eastAsia"/>
          <w:b/>
          <w:bCs/>
          <w:kern w:val="0"/>
          <w:sz w:val="32"/>
          <w:szCs w:val="32"/>
        </w:rPr>
        <w:t>（海关总署公告20</w:t>
      </w:r>
      <w:r>
        <w:rPr>
          <w:rFonts w:ascii="方正楷体_GBK" w:eastAsia="方正楷体_GBK"/>
          <w:b/>
          <w:bCs/>
          <w:kern w:val="0"/>
          <w:sz w:val="32"/>
          <w:szCs w:val="32"/>
        </w:rPr>
        <w:t>18</w:t>
      </w:r>
      <w:r>
        <w:rPr>
          <w:rFonts w:ascii="方正楷体_GBK" w:eastAsia="方正楷体_GBK" w:hint="eastAsia"/>
          <w:b/>
          <w:bCs/>
          <w:kern w:val="0"/>
          <w:sz w:val="32"/>
          <w:szCs w:val="32"/>
        </w:rPr>
        <w:t>年第</w:t>
      </w:r>
      <w:r>
        <w:rPr>
          <w:rFonts w:ascii="方正楷体_GBK" w:eastAsia="方正楷体_GBK"/>
          <w:b/>
          <w:bCs/>
          <w:kern w:val="0"/>
          <w:sz w:val="32"/>
          <w:szCs w:val="32"/>
        </w:rPr>
        <w:t>14</w:t>
      </w:r>
      <w:r>
        <w:rPr>
          <w:rFonts w:ascii="方正楷体_GBK" w:eastAsia="方正楷体_GBK" w:hint="eastAsia"/>
          <w:b/>
          <w:bCs/>
          <w:kern w:val="0"/>
          <w:sz w:val="32"/>
          <w:szCs w:val="32"/>
        </w:rPr>
        <w:t>号）</w:t>
      </w:r>
    </w:p>
    <w:p>
      <w:pPr>
        <w:spacing w:line="520" w:lineRule="exact"/>
        <w:ind w:firstLine="660"/>
        <w:jc w:val="both"/>
        <w:rPr>
          <w:rFonts w:ascii="Times New Roman" w:eastAsia="方正仿宋_GBK" w:cs="宋体" w:hAnsi="Times New Roman"/>
          <w:bCs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方正仿宋_GBK" w:cs="宋体" w:hAnsi="Times New Roman" w:hint="eastAsia"/>
          <w:bCs/>
          <w:color w:val="000000"/>
          <w:spacing w:val="-4"/>
          <w:kern w:val="0"/>
          <w:sz w:val="32"/>
          <w:szCs w:val="32"/>
        </w:rPr>
        <w:t>申请人应当在货物拟进出口</w:t>
      </w:r>
      <w:r>
        <w:rPr>
          <w:rFonts w:ascii="Times New Roman" w:eastAsia="方正仿宋_GBK" w:hAnsi="Times New Roman"/>
          <w:bCs/>
          <w:color w:val="000000"/>
          <w:spacing w:val="-4"/>
          <w:kern w:val="0"/>
          <w:sz w:val="32"/>
          <w:szCs w:val="32"/>
        </w:rPr>
        <w:t>3</w:t>
      </w:r>
      <w:r>
        <w:rPr>
          <w:rFonts w:ascii="Times New Roman" w:eastAsia="方正仿宋_GBK" w:cs="宋体" w:hAnsi="Times New Roman" w:hint="eastAsia"/>
          <w:bCs/>
          <w:color w:val="000000"/>
          <w:spacing w:val="-4"/>
          <w:kern w:val="0"/>
          <w:sz w:val="32"/>
          <w:szCs w:val="32"/>
        </w:rPr>
        <w:t>个月前向其</w:t>
      </w:r>
      <w:r>
        <w:rPr>
          <w:rFonts w:ascii="Times New Roman" w:eastAsia="方正仿宋_GBK" w:cs="宋体" w:hAnsi="Times New Roman" w:hint="eastAsia"/>
          <w:color w:val="000000"/>
          <w:spacing w:val="-4"/>
          <w:kern w:val="0"/>
          <w:sz w:val="32"/>
          <w:szCs w:val="32"/>
        </w:rPr>
        <w:t>注册地直属海关提出预裁定申请</w:t>
      </w:r>
      <w:r>
        <w:rPr>
          <w:rFonts w:ascii="Times New Roman" w:eastAsia="方正仿宋_GBK" w:cs="宋体" w:hAnsi="Times New Roman" w:hint="eastAsia"/>
          <w:bCs/>
          <w:color w:val="000000"/>
          <w:spacing w:val="-4"/>
          <w:kern w:val="0"/>
          <w:sz w:val="32"/>
          <w:szCs w:val="32"/>
        </w:rPr>
        <w:t>。</w:t>
      </w:r>
    </w:p>
    <w:p>
      <w:pPr>
        <w:spacing w:line="520" w:lineRule="exact"/>
        <w:ind w:firstLineChars="200" w:firstLine="640"/>
        <w:jc w:val="both"/>
        <w:rPr>
          <w:rFonts w:ascii="Times New Roman" w:eastAsia="方正仿宋_GBK" w:cs="宋体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cs="宋体" w:hAnsi="Times New Roman" w:hint="eastAsia"/>
          <w:color w:val="000000"/>
          <w:kern w:val="0"/>
          <w:sz w:val="32"/>
          <w:szCs w:val="32"/>
        </w:rPr>
        <w:t>有下列特殊情况之一，且申请人有正当理由，经直属海关批准，可以在货物拟进出口前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方正仿宋_GBK" w:cs="宋体" w:hAnsi="Times New Roman" w:hint="eastAsia"/>
          <w:color w:val="000000"/>
          <w:kern w:val="0"/>
          <w:sz w:val="32"/>
          <w:szCs w:val="32"/>
        </w:rPr>
        <w:t>个月内提出预裁定申请：因不可抗力或政策调整原因造成申请时间距实际进出口时间少于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方正仿宋_GBK" w:cs="宋体" w:hAnsi="Times New Roman" w:hint="eastAsia"/>
          <w:color w:val="000000"/>
          <w:kern w:val="0"/>
          <w:sz w:val="32"/>
          <w:szCs w:val="32"/>
        </w:rPr>
        <w:t>个月的；申请企业在海关注册时间少于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方正仿宋_GBK" w:cs="宋体" w:hAnsi="Times New Roman" w:hint="eastAsia"/>
          <w:color w:val="000000"/>
          <w:kern w:val="0"/>
          <w:sz w:val="32"/>
          <w:szCs w:val="32"/>
        </w:rPr>
        <w:t>个月的。</w:t>
      </w:r>
    </w:p>
    <w:p>
      <w:pPr>
        <w:spacing w:line="520" w:lineRule="exact"/>
        <w:ind w:firstLineChars="200" w:firstLine="640"/>
        <w:jc w:val="both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申请人申请预裁定的，应当通过电子口岸“海关事务联系系统”（“单一窗口”）或海关政务服务一体化平台提交《预裁定申请书》以及相关材料。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kern w:val="0"/>
          <w:sz w:val="32"/>
          <w:szCs w:val="32"/>
        </w:rPr>
        <w:t>（三）《海关总署关于实施海关预裁定展期等有关事项的公告》（海关总署公告2024年第32号）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在《中华人民共和国海关预裁定决定书》（以下简称《预裁定决定书》）所涉及的海关事务类别、商品基本信息、预裁定事项等内容未发生变化的前提下，原申请人可以在《预裁定决定书》有效期截止日前30日至90日内，向《预裁定决定书》制发海关提出针对该决定书有效期的展期申请。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2.海关自接到申请人《预裁定决定书》展期申请之日起30日内，完成审核并制发新的《预裁定决定书》，有效期为3年。自新制发的《预裁定决定书》生效之日起，原《预裁定决定书》自动失效。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3.有以下情形之一的，海关不接受展期申请，退回有关申请并注明理由：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（1）《预裁定决定书》已失效或被撤销的；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（2）申请人名称、企业代码、统一社会信用代码发生变更的；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（3）未在规定期限内提出申请的；</w:t>
      </w:r>
    </w:p>
    <w:p>
      <w:pPr>
        <w:pStyle w:val="79"/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（4）《预裁定决定书》制发后，有关海关规章、海关总署公告已对《预裁定决定书》涉及的有关海关事务作出明确规定的。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四、办理（实施）机构：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深圳海关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五、法定办结时限</w:t>
      </w:r>
      <w:r>
        <w:rPr>
          <w:rFonts w:ascii="Times New Roman" w:eastAsia="方正黑体_GBK" w:hAnsi="Times New Roman" w:hint="eastAsia"/>
          <w:sz w:val="32"/>
          <w:szCs w:val="32"/>
        </w:rPr>
        <w:t>：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除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属于疑难问题或需专家认证的，自受理之日起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60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日内作出预裁定决定。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六、承诺办结时限</w:t>
      </w:r>
      <w:r>
        <w:rPr>
          <w:rFonts w:ascii="Times New Roman" w:eastAsia="方正黑体_GBK" w:hAnsi="Times New Roman" w:hint="eastAsia"/>
          <w:sz w:val="32"/>
          <w:szCs w:val="32"/>
        </w:rPr>
        <w:t>：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自受理之日起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60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日</w:t>
      </w:r>
    </w:p>
    <w:p>
      <w:pPr>
        <w:adjustRightInd w:val="0"/>
        <w:snapToGrid w:val="0"/>
        <w:spacing w:line="520" w:lineRule="exact"/>
        <w:ind w:firstLineChars="200" w:firstLine="640"/>
        <w:jc w:val="both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七、结果名称</w:t>
      </w:r>
      <w:r>
        <w:rPr>
          <w:rFonts w:ascii="Times New Roman" w:eastAsia="方正黑体_GBK" w:hAnsi="Times New Roman" w:hint="eastAsia"/>
          <w:sz w:val="32"/>
          <w:szCs w:val="32"/>
        </w:rPr>
        <w:t>：</w:t>
      </w:r>
    </w:p>
    <w:p>
      <w:pPr>
        <w:adjustRightInd w:val="0"/>
        <w:snapToGrid w:val="0"/>
        <w:spacing w:line="520" w:lineRule="exact"/>
        <w:ind w:firstLineChars="200" w:firstLine="640"/>
        <w:jc w:val="both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cs="宋体" w:hAnsi="Times New Roman" w:hint="eastAsia"/>
          <w:sz w:val="32"/>
          <w:szCs w:val="32"/>
        </w:rPr>
        <w:t>《中华人民共和国海关预裁定申请受理决定书》、《中华人民共和国海关预裁定申请不予受理决定书》、《中华人民共和国海关预裁定申请补正通知书》、《中华人民共和国海关预裁定决定书》、《中华人民共和国海关预裁定申请补充材料通知书》、《中华人民共和国海关终止预裁定决定书》、《中华人民共和国海关预裁定决定撤销通知书》。</w:t>
      </w:r>
    </w:p>
    <w:p>
      <w:pPr>
        <w:autoSpaceDN w:val="0"/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八、结果样本：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ascii="Times New Roman" w:eastAsia="方正仿宋_GBK" w:cs="宋体" w:hAnsi="Times New Roman" w:hint="eastAsia"/>
          <w:sz w:val="32"/>
          <w:szCs w:val="32"/>
        </w:rPr>
        <w:t>结果样本详见附件。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九、收费标准：</w:t>
      </w:r>
      <w:r>
        <w:rPr>
          <w:rFonts w:ascii="Times New Roman" w:eastAsia="方正仿宋_GBK" w:hAnsi="Times New Roman" w:hint="eastAsia"/>
          <w:sz w:val="32"/>
          <w:szCs w:val="32"/>
        </w:rPr>
        <w:t>不收费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十、收费依据：</w:t>
      </w:r>
      <w:r>
        <w:rPr>
          <w:rFonts w:ascii="Times New Roman" w:eastAsia="方正仿宋_GBK" w:hAnsi="Times New Roman"/>
          <w:bCs/>
          <w:color w:val="000000"/>
          <w:sz w:val="32"/>
          <w:szCs w:val="32"/>
        </w:rPr>
        <w:t>无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十一、申请条件：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（一）预裁定的申请人应当是进口货物收货人或出口货物发货人。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（二）申请人应当在货物拟进出口3个月前向其注册地直属海关提出预裁定申请。有下列特殊情况之一，且申请人有正当理由，经直属海关批准，可以在货物拟进出口前3个月内提出预裁定申请：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1.因不可抗力或政策调整原因造成申请时间距实际进出口时间少于3个月的；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2.申请企业在海关注册时间少于3个月的。 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一份《预裁定申请书》应当仅包含一类海关事务。</w:t>
      </w:r>
    </w:p>
    <w:p>
      <w:pPr>
        <w:pStyle w:val="22"/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（三）在《预裁</w:t>
      </w:r>
      <w:r>
        <w:rPr>
          <w:rFonts w:eastAsia="方正仿宋_GBK"/>
          <w:sz w:val="32"/>
          <w:szCs w:val="32"/>
        </w:rPr>
        <w:t>定决定书》所涉及的海关事务类别、商品基本信息、预裁定事项等内容未发生变化的前提下，原申请人可以在《预裁定决定书》有效期截止日前30日至90日内，向《预裁定决定书》制发海关提出针对该决定书有效期的展期申请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十二、办理（申请）材料</w:t>
      </w:r>
    </w:p>
    <w:tbl>
      <w:tblPr>
        <w:jc w:val="center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566"/>
        <w:gridCol w:w="1418"/>
        <w:gridCol w:w="992"/>
        <w:gridCol w:w="1134"/>
        <w:gridCol w:w="1261"/>
      </w:tblGrid>
      <w:tr>
        <w:trPr>
          <w:cantSplit/>
          <w:tblHeader/>
        </w:trPr>
        <w:tc>
          <w:tcPr>
            <w:tcW w:w="870" w:type="dxa"/>
            <w:vAlign w:val="center"/>
          </w:tcPr>
          <w:p>
            <w:pPr>
              <w:pStyle w:val="21"/>
              <w:adjustRightInd w:val="0"/>
              <w:snapToGrid w:val="0"/>
              <w:spacing w:line="560" w:lineRule="exact"/>
              <w:ind w:leftChars="23" w:left="55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566" w:type="dxa"/>
            <w:vAlign w:val="center"/>
          </w:tcPr>
          <w:p>
            <w:pPr>
              <w:pStyle w:val="21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提交材料名称</w:t>
            </w:r>
          </w:p>
        </w:tc>
        <w:tc>
          <w:tcPr>
            <w:tcW w:w="1418" w:type="dxa"/>
            <w:vAlign w:val="center"/>
          </w:tcPr>
          <w:p>
            <w:pPr>
              <w:pStyle w:val="21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原件/复印件</w:t>
            </w:r>
          </w:p>
        </w:tc>
        <w:tc>
          <w:tcPr>
            <w:tcW w:w="992" w:type="dxa"/>
            <w:vAlign w:val="center"/>
          </w:tcPr>
          <w:p>
            <w:pPr>
              <w:pStyle w:val="21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份数</w:t>
            </w:r>
          </w:p>
        </w:tc>
        <w:tc>
          <w:tcPr>
            <w:tcW w:w="1134" w:type="dxa"/>
            <w:vAlign w:val="center"/>
          </w:tcPr>
          <w:p>
            <w:pPr>
              <w:pStyle w:val="21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纸质/电子</w:t>
            </w:r>
          </w:p>
        </w:tc>
        <w:tc>
          <w:tcPr>
            <w:tcW w:w="1261" w:type="dxa"/>
            <w:vAlign w:val="center"/>
          </w:tcPr>
          <w:p>
            <w:pPr>
              <w:pStyle w:val="21"/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要求</w:t>
            </w:r>
          </w:p>
        </w:tc>
      </w:tr>
      <w:tr>
        <w:trPr>
          <w:cantSplit/>
          <w:tblHeader/>
        </w:trPr>
        <w:tc>
          <w:tcPr>
            <w:tcW w:w="870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ind w:leftChars="23" w:left="55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3566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2"/>
                <w:szCs w:val="28"/>
              </w:rPr>
              <w:t>中华人民共和国海关预裁定申请书（包括保密声明，详见附件样表）</w:t>
            </w:r>
          </w:p>
        </w:tc>
        <w:tc>
          <w:tcPr>
            <w:tcW w:w="1418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原件</w:t>
            </w:r>
          </w:p>
        </w:tc>
        <w:tc>
          <w:tcPr>
            <w:tcW w:w="992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电子</w:t>
            </w:r>
          </w:p>
        </w:tc>
        <w:tc>
          <w:tcPr>
            <w:tcW w:w="1261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</w:p>
        </w:tc>
      </w:tr>
      <w:tr>
        <w:trPr>
          <w:cantSplit/>
          <w:tblHeader/>
        </w:trPr>
        <w:tc>
          <w:tcPr>
            <w:tcW w:w="870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ind w:leftChars="23" w:left="55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2"/>
                <w:szCs w:val="28"/>
              </w:rPr>
              <w:t>2</w:t>
            </w:r>
          </w:p>
        </w:tc>
        <w:tc>
          <w:tcPr>
            <w:tcW w:w="3566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2"/>
                <w:szCs w:val="28"/>
              </w:rPr>
              <w:t>企业进出口计划，包括所涉及拟实际进出口货物的相关材料，如进出口合同或意向书等</w:t>
            </w:r>
          </w:p>
        </w:tc>
        <w:tc>
          <w:tcPr>
            <w:tcW w:w="1418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原件</w:t>
            </w:r>
          </w:p>
        </w:tc>
        <w:tc>
          <w:tcPr>
            <w:tcW w:w="992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电子</w:t>
            </w:r>
          </w:p>
        </w:tc>
        <w:tc>
          <w:tcPr>
            <w:tcW w:w="1261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</w:p>
        </w:tc>
      </w:tr>
      <w:tr>
        <w:trPr>
          <w:cantSplit/>
          <w:tblHeader/>
        </w:trPr>
        <w:tc>
          <w:tcPr>
            <w:tcW w:w="870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ind w:leftChars="23" w:left="55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2"/>
                <w:szCs w:val="28"/>
              </w:rPr>
              <w:t>3</w:t>
            </w:r>
          </w:p>
        </w:tc>
        <w:tc>
          <w:tcPr>
            <w:tcW w:w="3566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left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22"/>
                <w:szCs w:val="28"/>
              </w:rPr>
              <w:t>商品描述，包括商品名称、规格型号、原理、功能、用途等，不同类别的商品描述重点不同，如：材料类商品重点描述商品的外观（形状、形态），商品的规格（特殊要求的技术参数、尺寸、成份含量），商品的加工方法，商品的来源和最终用途等；产品类商品重点描述商品的型号、状态和结构（组成、组分），商品功能、工作原理（各组分部分工作情况或加工方法）及用途等；化工产品还应提供分子式、CAS号、结构式或材料安全数据表（MSDS）；申请商品如有条形码（GTIN）的，应一同提供</w:t>
            </w:r>
          </w:p>
        </w:tc>
        <w:tc>
          <w:tcPr>
            <w:tcW w:w="1418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原件</w:t>
            </w:r>
          </w:p>
        </w:tc>
        <w:tc>
          <w:tcPr>
            <w:tcW w:w="992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  <w:r>
              <w:rPr>
                <w:rFonts w:eastAsia="方正仿宋_GBK" w:hint="eastAsia"/>
                <w:bCs/>
                <w:sz w:val="22"/>
                <w:szCs w:val="32"/>
              </w:rPr>
              <w:t>电子</w:t>
            </w:r>
          </w:p>
        </w:tc>
        <w:tc>
          <w:tcPr>
            <w:tcW w:w="1261" w:type="dxa"/>
            <w:vAlign w:val="center"/>
          </w:tcPr>
          <w:p>
            <w:pPr>
              <w:pStyle w:val="21"/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bCs/>
                <w:sz w:val="22"/>
                <w:szCs w:val="32"/>
              </w:rPr>
            </w:pPr>
          </w:p>
        </w:tc>
      </w:tr>
    </w:tbl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上述材料如为外文，申请人应当同时提交符合海关要求的中文译本。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drawing>
          <wp:anchor distT="0" distB="0" distL="114298" distR="114298" simplePos="0" relativeHeight="10" behindDoc="1" locked="0" layoutInCell="1" hidden="0" allowOverlap="1">
            <wp:simplePos x="0" y="0"/>
            <wp:positionH relativeFrom="column">
              <wp:posOffset>-11429</wp:posOffset>
            </wp:positionH>
            <wp:positionV relativeFrom="paragraph">
              <wp:posOffset>705410</wp:posOffset>
            </wp:positionV>
            <wp:extent cx="5468620" cy="2825749"/>
            <wp:effectExtent l="0" t="0" r="0" b="0"/>
            <wp:wrapTopAndBottom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8620" cy="282574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方正黑体_GBK" w:hAnsi="Times New Roman" w:hint="eastAsia"/>
          <w:bCs/>
          <w:sz w:val="32"/>
          <w:szCs w:val="32"/>
        </w:rPr>
        <w:t>十三、办理流程</w:t>
      </w:r>
    </w:p>
    <w:p>
      <w:pPr>
        <w:spacing w:line="560" w:lineRule="exact"/>
        <w:rPr>
          <w:rFonts w:ascii="Times New Roman" w:eastAsia="黑体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十四、办理形式：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网上办理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十五、到办理现场次数：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网上办理需到窗口0次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十六、审查标准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sz w:val="32"/>
          <w:szCs w:val="32"/>
        </w:rPr>
        <w:t>《预裁定申请书》以及相关申请材料真实、准确、完整、规范、有效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，符合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本指南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十二条所列要求。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十七、通办范围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sz w:val="32"/>
          <w:szCs w:val="32"/>
        </w:rPr>
        <w:t>深圳关区注册企业在关税处办理。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十八、预约办理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sz w:val="32"/>
          <w:szCs w:val="32"/>
        </w:rPr>
        <w:t>否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十九</w:t>
      </w:r>
      <w:r>
        <w:rPr>
          <w:rFonts w:ascii="Times New Roman" w:eastAsia="方正黑体_GBK" w:hAnsi="Times New Roman"/>
          <w:bCs/>
          <w:sz w:val="32"/>
          <w:szCs w:val="32"/>
        </w:rPr>
        <w:t>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网上支付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sz w:val="32"/>
          <w:szCs w:val="32"/>
        </w:rPr>
        <w:t>否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</w:t>
      </w:r>
      <w:r>
        <w:rPr>
          <w:rFonts w:ascii="Times New Roman" w:eastAsia="方正黑体_GBK" w:hAnsi="Times New Roman"/>
          <w:bCs/>
          <w:sz w:val="32"/>
          <w:szCs w:val="32"/>
        </w:rPr>
        <w:t>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物流快递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sz w:val="32"/>
          <w:szCs w:val="32"/>
        </w:rPr>
        <w:t>否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二十一、办理地点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</w:p>
    <w:p>
      <w:pPr>
        <w:spacing w:line="560" w:lineRule="exact"/>
        <w:ind w:firstLineChars="200" w:firstLine="640"/>
        <w:rPr>
          <w:rFonts w:ascii="Times New Roman" w:eastAsia="方正仿宋_GBK" w:cs="宋体" w:hAnsi="Times New Roman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通过互联网登录海关政务服务一体化平台（</w:t>
      </w:r>
      <w:r>
        <w:rPr>
          <w:rStyle w:val="80Char"/>
          <w:rFonts w:eastAsia="方正仿宋_GBK" w:hint="eastAsia"/>
          <w:sz w:val="32"/>
          <w:szCs w:val="32"/>
        </w:rPr>
        <w:t>https:// online.customs.gov.cn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，进入</w:t>
      </w:r>
      <w:r>
        <w:rPr>
          <w:rFonts w:ascii="方正仿宋_GBK" w:eastAsia="方正仿宋_GBK" w:hint="eastAsia"/>
          <w:sz w:val="32"/>
          <w:szCs w:val="32"/>
        </w:rPr>
        <w:t>“归类预裁定申请”</w:t>
      </w:r>
      <w:r>
        <w:rPr>
          <w:rFonts w:ascii="方正仿宋_GBK" w:eastAsia="方正仿宋_GBK"/>
          <w:sz w:val="32"/>
          <w:szCs w:val="32"/>
        </w:rPr>
        <w:t>模块。</w:t>
      </w:r>
    </w:p>
    <w:p>
      <w:pPr>
        <w:autoSpaceDN w:val="0"/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二十二、办理</w:t>
      </w:r>
      <w:r>
        <w:rPr>
          <w:rFonts w:ascii="Times New Roman" w:eastAsia="方正黑体_GBK" w:hAnsi="Times New Roman"/>
          <w:bCs/>
          <w:sz w:val="32"/>
          <w:szCs w:val="32"/>
        </w:rPr>
        <w:t>时间：</w:t>
      </w:r>
    </w:p>
    <w:p>
      <w:pPr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企业申请时间：</w:t>
      </w:r>
      <w:r>
        <w:rPr>
          <w:rFonts w:ascii="Times New Roman" w:eastAsia="方正仿宋_GBK" w:hAnsi="Times New Roman"/>
          <w:bCs/>
          <w:sz w:val="32"/>
          <w:szCs w:val="32"/>
        </w:rPr>
        <w:t>24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小时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 xml:space="preserve">      </w:t>
      </w:r>
    </w:p>
    <w:p>
      <w:pPr>
        <w:autoSpaceDN w:val="0"/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仿宋_GBK" w:hAnsi="Times New Roman"/>
          <w:bCs/>
          <w:kern w:val="0"/>
          <w:sz w:val="32"/>
          <w:szCs w:val="32"/>
        </w:rPr>
        <w:t>海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关审核时间：工作日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9:00-12:00；14:00-17:30</w:t>
      </w:r>
    </w:p>
    <w:p>
      <w:pPr>
        <w:pStyle w:val="50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二十三、咨询</w:t>
      </w:r>
      <w:r>
        <w:rPr>
          <w:rFonts w:ascii="Times New Roman" w:eastAsia="方正黑体_GBK" w:hAnsi="Times New Roman"/>
          <w:bCs/>
          <w:sz w:val="32"/>
          <w:szCs w:val="32"/>
        </w:rPr>
        <w:t>电话：</w:t>
      </w:r>
      <w:r>
        <w:rPr>
          <w:rFonts w:ascii="Times New Roman" w:eastAsia="方正仿宋_GBK" w:hAnsi="Times New Roman" w:hint="eastAsia"/>
          <w:bCs/>
          <w:kern w:val="0"/>
          <w:sz w:val="32"/>
          <w:szCs w:val="32"/>
        </w:rPr>
        <w:t>12360、0755-84395738、0755-84398</w:t>
      </w:r>
      <w:r>
        <w:rPr>
          <w:rFonts w:ascii="Times New Roman" w:eastAsia="方正仿宋_GBK" w:hAnsi="Times New Roman"/>
          <w:bCs/>
          <w:kern w:val="0"/>
          <w:sz w:val="32"/>
          <w:szCs w:val="32"/>
        </w:rPr>
        <w:t>063</w:t>
      </w:r>
    </w:p>
    <w:p>
      <w:pPr>
        <w:pStyle w:val="50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宋体" w:hAnsi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二十四、监督电话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bCs/>
          <w:kern w:val="0"/>
          <w:sz w:val="32"/>
          <w:szCs w:val="32"/>
        </w:rPr>
        <w:t>12360</w:t>
      </w:r>
    </w:p>
    <w:sectPr>
      <w:footerReference w:type="default" r:id="rId2"/>
      <w:pgSz w:w="11907" w:h="16839"/>
      <w:pgMar w:top="1440" w:right="1800" w:bottom="1440" w:left="1800" w:header="851" w:footer="992" w:gutter="0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5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</w:pPr>
    <w:rPr>
      <w:sz w:val="18"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5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0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">
    <w:name w:val="样式 1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1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1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1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1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1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styleId="68">
    <w:name w:val="Hyperlink"/>
    <w:rPr>
      <w:color w:val="0000FF"/>
      <w:u w:val="single"/>
    </w:rPr>
  </w:style>
  <w:style w:type="character" w:styleId="69">
    <w:name w:val="annotation reference"/>
    <w:basedOn w:val="10"/>
    <w:rPr>
      <w:sz w:val="21"/>
      <w:szCs w:val="21"/>
    </w:rPr>
  </w:style>
  <w:style w:type="paragraph" w:styleId="70">
    <w:name w:val="annotation text"/>
    <w:basedOn w:val="0"/>
  </w:style>
  <w:style w:type="paragraph" w:styleId="71">
    <w:name w:val="annotation subject"/>
    <w:basedOn w:val="70"/>
    <w:next w:val="70"/>
    <w:rPr>
      <w:b/>
      <w:bCs/>
    </w:rPr>
  </w:style>
  <w:style w:type="paragraph" w:styleId="72">
    <w:name w:val="Balloon Text"/>
    <w:basedOn w:val="0"/>
    <w:rPr>
      <w:sz w:val="18"/>
      <w:szCs w:val="18"/>
    </w:rPr>
  </w:style>
  <w:style w:type="paragraph" w:customStyle="1" w:styleId="73">
    <w:name w:val="Revision"/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customStyle="1" w:styleId="74">
    <w:name w:val="labelstyle3"/>
    <w:basedOn w:val="10"/>
  </w:style>
  <w:style w:type="paragraph" w:customStyle="1" w:styleId="75">
    <w:name w:val="样式 1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2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"/>
    <w:link w:val="80Char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character" w:customStyle="1" w:styleId="80Char">
    <w:name w:val="样式  Char"/>
    <w:basedOn w:val="10"/>
    <w:link w:val="80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81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3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</TotalTime>
  <Application>Yozo_Office</Application>
  <Pages>7</Pages>
  <Words>2143</Words>
  <Characters>2252</Characters>
  <Lines>168</Lines>
  <Paragraphs>74</Paragraphs>
  <CharactersWithSpaces>2263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张鸣亚</dc:creator>
  <cp:lastModifiedBy>杨卓</cp:lastModifiedBy>
  <cp:revision>8</cp:revision>
  <cp:lastPrinted>2020-01-20T02:52:00Z</cp:lastPrinted>
  <dcterms:created xsi:type="dcterms:W3CDTF">2021-11-26T01:55:00Z</dcterms:created>
  <dcterms:modified xsi:type="dcterms:W3CDTF">2026-07-08T05:48:08Z</dcterms:modified>
</cp:coreProperties>
</file>