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>
      <w:pPr>
        <w:spacing w:line="56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tbl>
      <w:tblPr>
        <w:jc w:val="center"/>
        <w:tblW w:w="8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>
        <w:trPr>
          <w:trHeight w:hRule="exact" w:val="4018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方正小标宋_GBK" w:eastAsia="方正小标宋_GBK"/>
                <w:b/>
                <w:bCs/>
                <w:color w:val="FF0000"/>
                <w:w w:val="70"/>
                <w:sz w:val="110"/>
                <w:szCs w:val="110"/>
              </w:rPr>
            </w:pPr>
            <w:bookmarkStart w:id="0" w:name="wpds__正文__File"/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中华人民共和国</w:t>
            </w:r>
            <w:bookmarkStart w:id="1" w:name="wpds__发文部门__Text"/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深圳海关</w:t>
            </w:r>
            <w:bookmarkEnd w:id="1"/>
          </w:p>
          <w:p>
            <w:pPr>
              <w:jc w:val="center"/>
              <w:rPr>
                <w:rFonts w:ascii="方正小标宋_GBK" w:eastAsia="方正小标宋_GBK"/>
                <w:color w:val="FF0000"/>
                <w:w w:val="70"/>
                <w:sz w:val="116"/>
                <w:szCs w:val="116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0"/>
                <w:szCs w:val="110"/>
              </w:rPr>
              <w:t>公    告</w:t>
            </w:r>
          </w:p>
        </w:tc>
      </w:tr>
    </w:tbl>
    <w:p>
      <w:pPr>
        <w:spacing w:line="480" w:lineRule="exact"/>
        <w:rPr>
          <w:rFonts w:ascii="方正仿宋_GBK" w:hAnsi="方正仿宋_GBK"/>
          <w:color w:val="000000"/>
        </w:rPr>
      </w:pPr>
    </w:p>
    <w:tbl>
      <w:tblPr>
        <w:jc w:val="center"/>
        <w:tblW w:w="8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>
        <w:trPr>
          <w:trHeight w:val="510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28"/>
              <w:autoSpaceDN w:val="0"/>
              <w:adjustRightInd w:val="0"/>
              <w:snapToGrid w:val="0"/>
              <w:spacing w:line="600" w:lineRule="exact"/>
              <w:ind w:firstLine="640"/>
              <w:rPr>
                <w:rFonts w:ascii="方正仿宋_GBK" w:eastAsia="方正仿宋_GBK"/>
                <w:sz w:val="32"/>
                <w:szCs w:val="32"/>
              </w:rPr>
            </w:pPr>
            <w:bookmarkStart w:id="2" w:name="wpds__年号__Text"/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</w:t>
            </w:r>
            <w:r>
              <w:rPr>
                <w:rFonts w:ascii="方正仿宋_GBK" w:eastAsia="方正仿宋_GBK"/>
                <w:sz w:val="32"/>
                <w:szCs w:val="32"/>
              </w:rPr>
              <w:t>2018</w:t>
            </w:r>
            <w:bookmarkEnd w:id="2"/>
            <w:r>
              <w:rPr>
                <w:rFonts w:ascii="方正仿宋_GBK" w:eastAsia="方正仿宋_GBK" w:hint="eastAsia"/>
                <w:sz w:val="32"/>
                <w:szCs w:val="32"/>
              </w:rPr>
              <w:t>年  第5号</w:t>
            </w:r>
          </w:p>
        </w:tc>
      </w:tr>
    </w:tbl>
    <w:p>
      <w:pPr>
        <w:spacing w:line="440" w:lineRule="exact"/>
        <w:ind w:right="34"/>
        <w:rPr>
          <w:rFonts w:ascii="方正仿宋_GBK" w:hAnsi="方正仿宋_GBK"/>
          <w:color w:val="000000"/>
        </w:rPr>
      </w:pP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为了打造“更加开放共享，更加便利高效”的通关模式，现将检验检疫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方正仿宋_GBK" w:eastAsia="方正仿宋_GBK" w:hint="eastAsia"/>
          <w:sz w:val="32"/>
          <w:szCs w:val="32"/>
        </w:rPr>
        <w:t>证书相关事项公告如下：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一、实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施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证</w:t>
      </w:r>
      <w:r>
        <w:rPr>
          <w:rFonts w:ascii="方正仿宋_GBK" w:eastAsia="方正仿宋_GBK" w:hint="eastAsia"/>
          <w:sz w:val="32"/>
          <w:szCs w:val="32"/>
        </w:rPr>
        <w:t>书范围为在深圳地区完成检验检疫的入境货物。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二、除索赔、司法取证等特殊情况以外，深圳海关不再签发纸质《入境货物检验检疫证明》《熏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蒸</w:t>
      </w:r>
      <w:r>
        <w:rPr>
          <w:rFonts w:ascii="Times New Roman" w:eastAsia="方正仿宋_GBK" w:cs="Times New Roman" w:hAnsi="Times New Roman"/>
          <w:sz w:val="32"/>
          <w:szCs w:val="32"/>
        </w:rPr>
        <w:t>/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消</w:t>
      </w:r>
      <w:r>
        <w:rPr>
          <w:rFonts w:ascii="方正仿宋_GBK" w:eastAsia="方正仿宋_GBK" w:hint="eastAsia"/>
          <w:sz w:val="32"/>
          <w:szCs w:val="32"/>
        </w:rPr>
        <w:t>毒证书》《检验检疫处理通知书》《检验证书》《卫生证书》；《进口机动车辆随车检验单》采取纸质和电子化并行的签发方式。</w:t>
      </w:r>
    </w:p>
    <w:p>
      <w:pPr>
        <w:pStyle w:val="29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上述证单信息除部分《检验检疫处理通知书》外均在</w:t>
      </w:r>
      <w:r>
        <w:rPr>
          <w:rFonts w:ascii="方正仿宋_GBK" w:eastAsia="方正仿宋_GBK" w:hint="eastAsia"/>
          <w:color w:val="000000"/>
          <w:sz w:val="32"/>
          <w:szCs w:val="32"/>
        </w:rPr>
        <w:t>深圳海关门户网站宜检通服务平台</w:t>
      </w:r>
      <w:r>
        <w:rPr>
          <w:rFonts w:eastAsia="方正仿宋_GBK" w:hint="eastAsia"/>
          <w:color w:val="000000"/>
          <w:sz w:val="32"/>
          <w:szCs w:val="32"/>
        </w:rPr>
        <w:t>以</w:t>
      </w:r>
      <w:r>
        <w:rPr>
          <w:rFonts w:eastAsia="方正仿宋_GBK"/>
          <w:color w:val="000000"/>
          <w:sz w:val="32"/>
          <w:szCs w:val="32"/>
        </w:rPr>
        <w:t>e</w:t>
      </w:r>
      <w:r>
        <w:rPr>
          <w:rFonts w:eastAsia="方正仿宋_GBK" w:hint="eastAsia"/>
          <w:color w:val="000000"/>
          <w:sz w:val="32"/>
          <w:szCs w:val="32"/>
        </w:rPr>
        <w:t>证</w:t>
      </w:r>
      <w:r>
        <w:rPr>
          <w:rFonts w:ascii="方正仿宋_GBK" w:eastAsia="方正仿宋_GBK" w:hint="eastAsia"/>
          <w:color w:val="000000"/>
          <w:sz w:val="32"/>
          <w:szCs w:val="32"/>
        </w:rPr>
        <w:t>书形式发布。</w:t>
      </w:r>
      <w:r>
        <w:rPr>
          <w:rFonts w:ascii="方正仿宋_GBK" w:eastAsia="方正仿宋_GBK" w:hint="eastAsia"/>
          <w:color w:val="000000"/>
          <w:sz w:val="32"/>
          <w:szCs w:val="32"/>
          <w:shd w:val="clear" w:color="auto" w:fill="FFFFFF"/>
        </w:rPr>
        <w:t xml:space="preserve"> 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三、证书查阅、验证方式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登陆</w:t>
      </w:r>
      <w:r>
        <w:rPr>
          <w:rFonts w:ascii="方正仿宋_GBK" w:eastAsia="方正仿宋_GBK" w:hint="eastAsia"/>
          <w:color w:val="000000"/>
          <w:sz w:val="32"/>
          <w:szCs w:val="32"/>
        </w:rPr>
        <w:t>深圳海关门户网站，进入宜检通服务平台，选择</w:t>
      </w:r>
      <w:r>
        <w:rPr>
          <w:rFonts w:ascii="方正仿宋_GBK" w:eastAsia="方正仿宋_GBK" w:hint="eastAsia"/>
          <w:sz w:val="32"/>
          <w:szCs w:val="32"/>
        </w:rPr>
        <w:t>证书类型和输入证书编号即可查询、验证。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四、相关注意事项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（一）企业在申报时应当录入联系人电话（必须为手机号码）。证书生成后，系统会自动发送短信提示到该手机号码。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</w:t>
      </w:r>
      <w:r>
        <w:rPr>
          <w:rFonts w:ascii="方正仿宋_GBK" w:eastAsia="方正仿宋_GBK" w:hint="eastAsia"/>
          <w:color w:val="000000"/>
          <w:sz w:val="32"/>
          <w:szCs w:val="32"/>
        </w:rPr>
        <w:t>企业在申报时选择“不公开”的，应当在“特殊要求”栏输入“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BGK</w:t>
      </w:r>
      <w:r>
        <w:rPr>
          <w:rFonts w:ascii="方正仿宋_GBK" w:eastAsia="方正仿宋_GBK" w:hint="eastAsia"/>
          <w:color w:val="000000"/>
          <w:sz w:val="32"/>
          <w:szCs w:val="32"/>
        </w:rPr>
        <w:t>”（不输入系统默认为“公开”）。</w:t>
      </w:r>
      <w:r>
        <w:rPr>
          <w:rFonts w:ascii="方正仿宋_GBK" w:eastAsia="方正仿宋_GBK" w:hint="eastAsia"/>
          <w:sz w:val="32"/>
          <w:szCs w:val="32"/>
        </w:rPr>
        <w:t>查询和验证证书时系统会发送验证码到</w:t>
      </w:r>
      <w:r>
        <w:rPr>
          <w:rFonts w:ascii="方正仿宋_GBK" w:eastAsia="方正仿宋_GBK" w:hint="eastAsia"/>
          <w:color w:val="000000"/>
          <w:sz w:val="32"/>
          <w:szCs w:val="32"/>
        </w:rPr>
        <w:t>联系人的手机号码</w:t>
      </w:r>
      <w:r>
        <w:rPr>
          <w:rFonts w:ascii="方正仿宋_GBK" w:eastAsia="方正仿宋_GBK" w:hint="eastAsia"/>
          <w:sz w:val="32"/>
          <w:szCs w:val="32"/>
        </w:rPr>
        <w:t>，一证对应一码，请牢记该码</w:t>
      </w:r>
      <w:bookmarkStart w:id="3" w:name="_GoBack"/>
      <w:bookmarkEnd w:id="3"/>
      <w:r>
        <w:rPr>
          <w:rFonts w:ascii="方正仿宋_GBK" w:eastAsia="方正仿宋_GBK" w:hint="eastAsia"/>
          <w:sz w:val="32"/>
          <w:szCs w:val="32"/>
        </w:rPr>
        <w:t>并注意保密。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（三）企业在使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用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证书</w:t>
      </w:r>
      <w:r>
        <w:rPr>
          <w:rFonts w:ascii="方正仿宋_GBK" w:eastAsia="方正仿宋_GBK" w:hint="eastAsia"/>
          <w:sz w:val="32"/>
          <w:szCs w:val="32"/>
        </w:rPr>
        <w:t>中遇到问题，可以向签发证书海关咨询。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（四）部分涉及检疫处理的《检验检疫处理通知书》通过深圳口岸检疫处理综合信息服务平</w:t>
      </w:r>
      <w:r>
        <w:rPr>
          <w:rFonts w:ascii="方正仿宋_GBK" w:eastAsia="方正仿宋_GBK" w:hint="eastAsia"/>
          <w:color w:val="000000"/>
          <w:sz w:val="32"/>
          <w:szCs w:val="32"/>
        </w:rPr>
        <w:t>台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(</w:t>
      </w:r>
      <w:r>
        <w:rPr>
          <w:rStyle w:val="27"/>
          <w:rFonts w:ascii="Times New Roman" w:eastAsia="方正仿宋_GBK" w:cs="Times New Roman" w:hAnsi="Times New Roman"/>
          <w:color w:val="000000"/>
          <w:sz w:val="32"/>
          <w:szCs w:val="32"/>
        </w:rPr>
        <w:fldChar w:fldCharType="begin"/>
      </w:r>
      <w:r>
        <w:instrText>HYPERLINK "http://jycl.szciq.gov.cn:8080/gw"</w:instrText>
      </w:r>
      <w:r>
        <w:rPr>
          <w:rStyle w:val="27"/>
          <w:rFonts w:ascii="Times New Roman" w:eastAsia="方正仿宋_GBK" w:cs="Times New Roman" w:hAnsi="Times New Roman"/>
          <w:color w:val="000000"/>
          <w:sz w:val="32"/>
          <w:szCs w:val="32"/>
        </w:rPr>
        <w:fldChar w:fldCharType="separate"/>
      </w:r>
      <w:r>
        <w:rPr>
          <w:rStyle w:val="27"/>
          <w:rFonts w:ascii="Times New Roman" w:eastAsia="方正仿宋_GBK" w:cs="Times New Roman" w:hAnsi="Times New Roman"/>
          <w:color w:val="000000"/>
          <w:sz w:val="32"/>
          <w:szCs w:val="32"/>
        </w:rPr>
        <w:t>http://jycl.szciq.gov.cn:8080/gw</w:t>
      </w:r>
      <w:r>
        <w:rPr>
          <w:rStyle w:val="27"/>
          <w:rFonts w:ascii="Times New Roman" w:eastAsia="方正仿宋_GBK" w:cs="Times New Roman" w:hAnsi="Times New Roman"/>
          <w:color w:val="000000"/>
          <w:sz w:val="32"/>
          <w:szCs w:val="32"/>
        </w:rPr>
        <w:fldChar w:fldCharType="end"/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)</w:t>
      </w:r>
      <w:r>
        <w:rPr>
          <w:rFonts w:ascii="方正仿宋_GBK" w:eastAsia="方正仿宋_GBK" w:hint="eastAsia"/>
          <w:color w:val="000000"/>
          <w:sz w:val="32"/>
          <w:szCs w:val="32"/>
        </w:rPr>
        <w:t>发布</w:t>
      </w:r>
      <w:r>
        <w:rPr>
          <w:rFonts w:ascii="方正仿宋_GBK" w:eastAsia="方正仿宋_GBK" w:hint="eastAsia"/>
          <w:sz w:val="32"/>
          <w:szCs w:val="32"/>
        </w:rPr>
        <w:t>，相关企业可在该平台上查询。</w:t>
      </w:r>
    </w:p>
    <w:p>
      <w:pPr>
        <w:pStyle w:val="28"/>
        <w:autoSpaceDN w:val="0"/>
        <w:spacing w:line="600" w:lineRule="exact"/>
        <w:ind w:firstLine="614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五、</w:t>
      </w:r>
      <w:r>
        <w:rPr>
          <w:rFonts w:ascii="方正仿宋_GBK" w:eastAsia="方正仿宋_GBK" w:hint="eastAsia"/>
          <w:color w:val="000000"/>
          <w:sz w:val="32"/>
          <w:szCs w:val="32"/>
        </w:rPr>
        <w:t>本通告自发布之日起施行。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2016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5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31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日</w:t>
      </w:r>
      <w:r>
        <w:rPr>
          <w:rFonts w:ascii="方正仿宋_GBK" w:eastAsia="方正仿宋_GBK" w:hint="eastAsia"/>
          <w:color w:val="000000"/>
          <w:sz w:val="32"/>
          <w:szCs w:val="32"/>
        </w:rPr>
        <w:t>发布的</w:t>
      </w:r>
      <w:r>
        <w:rPr>
          <w:rFonts w:ascii="方正仿宋_GBK" w:eastAsia="方正仿宋_GBK" w:hint="eastAsia"/>
          <w:sz w:val="32"/>
          <w:szCs w:val="32"/>
        </w:rPr>
        <w:t>《深圳出入境检验检疫局关于全面实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施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电</w:t>
      </w:r>
      <w:r>
        <w:rPr>
          <w:rFonts w:ascii="方正仿宋_GBK" w:eastAsia="方正仿宋_GBK" w:hint="eastAsia"/>
          <w:sz w:val="32"/>
          <w:szCs w:val="32"/>
        </w:rPr>
        <w:t>子证书的通告》（</w:t>
      </w:r>
      <w:r>
        <w:rPr>
          <w:rFonts w:ascii="Times New Roman" w:eastAsia="方正仿宋_GBK" w:cs="Times New Roman" w:hAnsi="Times New Roman"/>
          <w:sz w:val="32"/>
          <w:szCs w:val="32"/>
        </w:rPr>
        <w:t>2016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年第</w:t>
      </w:r>
      <w:r>
        <w:rPr>
          <w:rFonts w:ascii="Times New Roman" w:eastAsia="方正仿宋_GBK" w:cs="Times New Roman" w:hAnsi="Times New Roman"/>
          <w:sz w:val="32"/>
          <w:szCs w:val="32"/>
        </w:rPr>
        <w:t>6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号）、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</w:rPr>
        <w:t>21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日发布的《深圳检验检疫局关于〈熏蒸消毒证书〉纳入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证书签发范围的通告》（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年第</w:t>
      </w:r>
      <w:r>
        <w:rPr>
          <w:rFonts w:ascii="Times New Roman" w:eastAsia="方正仿宋_GBK" w:cs="Times New Roman" w:hAnsi="Times New Roman"/>
          <w:sz w:val="32"/>
          <w:szCs w:val="32"/>
        </w:rPr>
        <w:t>5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号）、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</w:rPr>
        <w:t>10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</w:rPr>
        <w:t>26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日发布的《深圳检验检疫局关于将〈检验证书〉及〈检验检疫处理通知书〉纳入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证书签发范围的通告》（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年第</w:t>
      </w:r>
      <w:r>
        <w:rPr>
          <w:rFonts w:ascii="Times New Roman" w:eastAsia="方正仿宋_GBK" w:cs="Times New Roman" w:hAnsi="Times New Roman"/>
          <w:sz w:val="32"/>
          <w:szCs w:val="32"/>
        </w:rPr>
        <w:t>15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号）、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</w:rPr>
        <w:t>12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</w:rPr>
        <w:t>14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日发布的《深圳检验检疫局关于将〈进口机动车辆随车检验单〉纳入</w:t>
      </w:r>
      <w:r>
        <w:rPr>
          <w:rFonts w:ascii="Times New Roman" w:eastAsia="方正仿宋_GBK" w:cs="Times New Roman" w:hAnsi="Times New Roman"/>
          <w:sz w:val="32"/>
          <w:szCs w:val="32"/>
        </w:rPr>
        <w:t>e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证书签发范围的通告》（</w:t>
      </w:r>
      <w:r>
        <w:rPr>
          <w:rFonts w:ascii="Times New Roman" w:eastAsia="方正仿宋_GBK" w:cs="Times New Roman" w:hAnsi="Times New Roman"/>
          <w:sz w:val="32"/>
          <w:szCs w:val="32"/>
        </w:rPr>
        <w:t>2017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年第</w:t>
      </w:r>
      <w:r>
        <w:rPr>
          <w:rFonts w:ascii="Times New Roman" w:eastAsia="方正仿宋_GBK" w:cs="Times New Roman" w:hAnsi="Times New Roman"/>
          <w:sz w:val="32"/>
          <w:szCs w:val="32"/>
        </w:rPr>
        <w:t>16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号）同时废止。</w:t>
      </w:r>
    </w:p>
    <w:p>
      <w:pPr>
        <w:pStyle w:val="28"/>
        <w:autoSpaceDN w:val="0"/>
        <w:adjustRightInd w:val="0"/>
        <w:snapToGrid w:val="0"/>
        <w:spacing w:line="600" w:lineRule="exact"/>
        <w:ind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特此公告。</w:t>
      </w:r>
    </w:p>
    <w:p>
      <w:pPr>
        <w:pStyle w:val="28"/>
        <w:autoSpaceDN w:val="0"/>
        <w:adjustRightInd w:val="0"/>
        <w:snapToGrid w:val="0"/>
        <w:spacing w:line="594" w:lineRule="atLeast"/>
        <w:rPr>
          <w:rFonts w:ascii="方正仿宋简体" w:eastAsia="方正仿宋简体"/>
        </w:rPr>
      </w:pPr>
      <w:r>
        <w:rPr>
          <w:rFonts w:ascii="方正仿宋简体" w:eastAsia="方正仿宋简体" w:hint="eastAsia"/>
        </w:rPr>
        <w:t xml:space="preserve"> </w:t>
      </w:r>
    </w:p>
    <w:p/>
    <w:p/>
    <w:p/>
    <w:p>
      <w:pPr>
        <w:tabs>
          <w:tab w:val="left" w:pos="7655"/>
        </w:tabs>
        <w:autoSpaceDN w:val="0"/>
        <w:spacing w:line="560" w:lineRule="exact"/>
        <w:ind w:firstLineChars="1734" w:firstLine="5549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深圳海关</w:t>
      </w:r>
    </w:p>
    <w:p>
      <w:pPr>
        <w:tabs>
          <w:tab w:val="left" w:pos="7655"/>
        </w:tabs>
        <w:autoSpaceDN w:val="0"/>
        <w:spacing w:line="560" w:lineRule="exact"/>
        <w:ind w:firstLineChars="1626" w:firstLine="5203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/>
          <w:kern w:val="0"/>
          <w:sz w:val="32"/>
          <w:szCs w:val="32"/>
        </w:rPr>
        <w:t>2018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6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kern w:val="0"/>
          <w:sz w:val="32"/>
          <w:szCs w:val="32"/>
        </w:rPr>
        <w:t>28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日</w:t>
      </w:r>
    </w:p>
    <w:p>
      <w:pPr>
        <w:autoSpaceDN w:val="0"/>
        <w:spacing w:line="560" w:lineRule="exact"/>
        <w:ind w:left="669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rPr>
          <w:rFonts w:ascii="方正仿宋_GBK" w:hAnsi="方正仿宋_GBK"/>
          <w:color w:val="000000"/>
          <w:sz w:val="28"/>
        </w:rPr>
      </w:pPr>
    </w:p>
    <w:p>
      <w:pPr>
        <w:ind w:left="617"/>
        <w:rPr>
          <w:rFonts w:ascii="方正仿宋_GBK" w:hAnsi="方正仿宋_GBK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bookmarkEnd w:id="0"/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宋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Plain Text"/>
    <w:basedOn w:val="0"/>
    <w:rPr>
      <w:rFonts w:ascii="宋体" w:cs="宋体"/>
      <w:szCs w:val="21"/>
    </w:rPr>
  </w:style>
  <w:style w:type="character" w:customStyle="1" w:styleId="20">
    <w:name w:val="纯文本 Char"/>
    <w:basedOn w:val="10"/>
    <w:rPr>
      <w:rFonts w:ascii="宋体" w:eastAsia="宋体" w:cs="Courier New"/>
      <w:szCs w:val="21"/>
    </w:rPr>
  </w:style>
  <w:style w:type="paragraph" w:styleId="21">
    <w:name w:val="Balloon Text"/>
    <w:basedOn w:val="0"/>
    <w:rPr>
      <w:sz w:val="18"/>
      <w:szCs w:val="18"/>
    </w:rPr>
  </w:style>
  <w:style w:type="paragraph" w:styleId="22">
    <w:name w:val="endnote text"/>
    <w:basedOn w:val="0"/>
    <w:pPr>
      <w:snapToGrid w:val="0"/>
      <w:jc w:val="left"/>
    </w:pPr>
  </w:style>
  <w:style w:type="character" w:styleId="23">
    <w:name w:val="endnote reference"/>
    <w:basedOn w:val="10"/>
    <w:rPr>
      <w:vertAlign w:val="superscript"/>
    </w:rPr>
  </w:style>
  <w:style w:type="paragraph" w:styleId="24">
    <w:name w:val="Document Map"/>
    <w:basedOn w:val="0"/>
    <w:rPr>
      <w:rFonts w:ascii="宋体"/>
      <w:sz w:val="18"/>
      <w:szCs w:val="18"/>
    </w:rPr>
  </w:style>
  <w:style w:type="character" w:customStyle="1" w:styleId="25">
    <w:name w:val="纯文本 字符"/>
    <w:rPr>
      <w:rFonts w:ascii="宋体" w:eastAsia="宋体" w:cs="宋体"/>
      <w:sz w:val="21"/>
      <w:szCs w:val="21"/>
    </w:rPr>
  </w:style>
  <w:style w:type="paragraph" w:customStyle="1" w:styleId="26">
    <w:name w:val="列出段落1"/>
    <w:basedOn w:val="0"/>
    <w:pPr>
      <w:ind w:firstLineChars="200" w:firstLine="200"/>
    </w:pPr>
  </w:style>
  <w:style w:type="character" w:styleId="27">
    <w:name w:val="Hyperlink"/>
    <w:rPr>
      <w:color w:val="0000FF"/>
      <w:u w:val="single"/>
    </w:rPr>
  </w:style>
  <w:style w:type="paragraph" w:customStyle="1" w:styleId="28">
    <w:name w:val="p15"/>
    <w:next w:val="0"/>
    <w:pPr>
      <w:jc w:val="both"/>
    </w:pPr>
    <w:rPr>
      <w:rFonts w:ascii="Calibri" w:eastAsia="宋体" w:cs="Calibri" w:hAnsi="Calibri"/>
      <w:sz w:val="21"/>
      <w:szCs w:val="21"/>
      <w:lang w:val="en-US" w:eastAsia="zh-CN" w:bidi="ar-SA"/>
    </w:rPr>
  </w:style>
  <w:style w:type="paragraph" w:customStyle="1" w:styleId="29">
    <w:name w:val="p0"/>
    <w:next w:val="0"/>
    <w:pPr>
      <w:jc w:val="both"/>
    </w:pPr>
    <w:rPr>
      <w:rFonts w:ascii="Times New Roman" w:eastAsia="宋体" w:cs="Times New Roman" w:hAnsi="Times New Roman"/>
      <w:sz w:val="21"/>
      <w:szCs w:val="21"/>
      <w:lang w:val="en-US" w:eastAsia="zh-CN" w:bidi="ar-SA"/>
    </w:rPr>
  </w:style>
  <w:style w:type="paragraph" w:customStyle="1" w:styleId="30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 10 磅"/>
    <w:pPr>
      <w:widowControl w:val="0"/>
      <w:jc w:val="both"/>
    </w:pPr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styleId="32">
    <w:name w:val="Date"/>
    <w:basedOn w:val="0"/>
    <w:next w:val="0"/>
    <w:pPr>
      <w:ind w:leftChars="2500" w:left="2500"/>
    </w:pPr>
  </w:style>
  <w:style w:type="paragraph" w:styleId="33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3</Pages>
  <Words>766</Words>
  <Characters>840</Characters>
  <Lines>54</Lines>
  <Paragraphs>18</Paragraphs>
  <CharactersWithSpaces>865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通关业务处综合员(通关业务处/深圳局)</dc:creator>
  <cp:lastModifiedBy>江畅</cp:lastModifiedBy>
  <cp:revision>2</cp:revision>
  <cp:lastPrinted>2019-12-25T11:39:00Z</cp:lastPrinted>
  <dcterms:created xsi:type="dcterms:W3CDTF">2020-12-08T01:50:00Z</dcterms:created>
  <dcterms:modified xsi:type="dcterms:W3CDTF">2020-12-10T09:43:14Z</dcterms:modified>
</cp:coreProperties>
</file>