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pacing w:line="540" w:lineRule="exact"/>
        <w:jc w:val="center"/>
        <w:rPr>
          <w:rFonts w:ascii="方正小标宋_GBK" w:eastAsia="方正小标宋_GBK" w:cs="Times New Roman"/>
          <w:sz w:val="44"/>
          <w:szCs w:val="44"/>
        </w:rPr>
      </w:pPr>
      <w:r>
        <w:rPr>
          <w:rFonts w:ascii="方正小标宋_GBK" w:eastAsia="方正小标宋_GBK" w:cs="Times New Roman" w:hint="eastAsia"/>
          <w:sz w:val="44"/>
          <w:szCs w:val="44"/>
        </w:rPr>
        <w:t>“过境动物、进境特定动植物及其产品检疫审批（动植物部分）”政务服务事项</w:t>
      </w:r>
    </w:p>
    <w:p>
      <w:pPr>
        <w:widowControl/>
        <w:spacing w:line="540" w:lineRule="exact"/>
        <w:jc w:val="center"/>
        <w:rPr>
          <w:rFonts w:ascii="方正小标宋_GBK" w:eastAsia="方正小标宋_GBK" w:cs="Times New Roman"/>
          <w:sz w:val="44"/>
          <w:szCs w:val="44"/>
        </w:rPr>
      </w:pPr>
      <w:r>
        <w:rPr>
          <w:rFonts w:ascii="方正小标宋_GBK" w:eastAsia="方正小标宋_GBK" w:cs="Times New Roman" w:hint="eastAsia"/>
          <w:sz w:val="44"/>
          <w:szCs w:val="44"/>
        </w:rPr>
        <w:t>办事指南</w:t>
      </w:r>
    </w:p>
    <w:p>
      <w:pPr>
        <w:adjustRightInd w:val="0"/>
        <w:snapToGrid w:val="0"/>
        <w:spacing w:line="540" w:lineRule="exact"/>
        <w:rPr>
          <w:rFonts w:ascii="Times New Roman" w:eastAsia="方正黑体_GBK" w:cs="Times New Roman" w:hAnsi="Times New Roman"/>
          <w:sz w:val="32"/>
          <w:szCs w:val="32"/>
        </w:rPr>
      </w:pPr>
    </w:p>
    <w:p>
      <w:pPr>
        <w:adjustRightInd w:val="0"/>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一、事项名称：</w:t>
      </w:r>
      <w:r>
        <w:rPr>
          <w:rFonts w:ascii="Times New Roman" w:eastAsia="方正仿宋_GBK" w:cs="Times New Roman" w:hAnsi="Times New Roman" w:hint="eastAsia"/>
          <w:sz w:val="32"/>
          <w:szCs w:val="32"/>
        </w:rPr>
        <w:t>过境动物、</w:t>
      </w:r>
      <w:r>
        <w:rPr>
          <w:rFonts w:ascii="Times New Roman" w:eastAsia="方正仿宋_GBK" w:cs="Times New Roman" w:hAnsi="Times New Roman"/>
          <w:sz w:val="32"/>
          <w:szCs w:val="32"/>
        </w:rPr>
        <w:t>进境特定动植物及其产品检疫审批（动植物部分</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p>
    <w:p>
      <w:pPr>
        <w:adjustRightInd w:val="0"/>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二、事项类型：</w:t>
      </w:r>
      <w:r>
        <w:rPr>
          <w:rFonts w:ascii="Times New Roman" w:eastAsia="方正仿宋_GBK" w:cs="Times New Roman" w:hAnsi="Times New Roman"/>
          <w:sz w:val="32"/>
          <w:szCs w:val="32"/>
        </w:rPr>
        <w:t>行政许可</w:t>
      </w:r>
      <w:r>
        <w:rPr>
          <w:rFonts w:ascii="Times New Roman" w:eastAsia="方正仿宋_GBK" w:cs="Times New Roman" w:hAnsi="Times New Roman" w:hint="eastAsia"/>
          <w:sz w:val="32"/>
          <w:szCs w:val="32"/>
        </w:rPr>
        <w:t>。</w:t>
      </w:r>
    </w:p>
    <w:p>
      <w:pPr>
        <w:adjustRightInd w:val="0"/>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三、设立依据：</w:t>
      </w:r>
    </w:p>
    <w:p>
      <w:pPr>
        <w:adjustRightInd w:val="0"/>
        <w:snapToGrid w:val="0"/>
        <w:spacing w:line="540" w:lineRule="exact"/>
        <w:ind w:firstLineChars="200" w:firstLine="640"/>
        <w:rPr>
          <w:rFonts w:ascii="方正楷体_GBK" w:eastAsia="方正楷体_GBK" w:cs="Times New Roman"/>
          <w:b/>
          <w:bCs/>
          <w:sz w:val="32"/>
          <w:szCs w:val="32"/>
        </w:rPr>
      </w:pPr>
      <w:r>
        <w:rPr>
          <w:rFonts w:ascii="方正楷体_GBK" w:eastAsia="方正楷体_GBK" w:cs="Times New Roman" w:hint="eastAsia"/>
          <w:b/>
          <w:bCs/>
          <w:sz w:val="32"/>
          <w:szCs w:val="32"/>
        </w:rPr>
        <w:t>（一）《中华人民共和国进出境动植物检疫法》</w:t>
      </w:r>
    </w:p>
    <w:p>
      <w:pPr>
        <w:widowControl/>
        <w:spacing w:line="560" w:lineRule="exact"/>
        <w:ind w:firstLineChars="200" w:firstLine="640"/>
        <w:rPr>
          <w:rFonts w:ascii="Times New Roman" w:eastAsia="方正仿宋_GBK" w:cs="Times New Roman" w:hAnsi="Times New Roman"/>
          <w:bCs/>
          <w:sz w:val="32"/>
          <w:szCs w:val="32"/>
        </w:rPr>
      </w:pPr>
      <w:r>
        <w:rPr>
          <w:rFonts w:eastAsia="方正仿宋_GBK" w:hint="eastAsia"/>
          <w:bCs/>
          <w:sz w:val="32"/>
          <w:szCs w:val="32"/>
        </w:rPr>
        <w:t>第五条　国家禁止下列各物进境：</w:t>
      </w:r>
    </w:p>
    <w:p>
      <w:pPr>
        <w:widowControl/>
        <w:spacing w:line="560" w:lineRule="exact"/>
        <w:ind w:firstLineChars="200" w:firstLine="640"/>
        <w:rPr>
          <w:rFonts w:eastAsia="方正仿宋_GBK"/>
          <w:bCs/>
          <w:sz w:val="32"/>
          <w:szCs w:val="32"/>
        </w:rPr>
      </w:pPr>
      <w:r>
        <w:rPr>
          <w:rFonts w:eastAsia="方正仿宋_GBK" w:hint="eastAsia"/>
          <w:bCs/>
          <w:sz w:val="32"/>
          <w:szCs w:val="32"/>
        </w:rPr>
        <w:t>（一）动植物病原体（包括</w:t>
      </w:r>
      <w:r>
        <w:rPr>
          <w:rFonts w:ascii="方正仿宋_GBK" w:eastAsia="方正仿宋_GBK" w:hint="eastAsia"/>
          <w:sz w:val="32"/>
          <w:szCs w:val="32"/>
        </w:rPr>
        <w:fldChar w:fldCharType="begin"/>
      </w:r>
      <w:r>
        <w:instrText>HYPERLINK "http://baike.baidu.com/view/2386237.htm"</w:instrText>
      </w:r>
      <w:r>
        <w:rPr>
          <w:rFonts w:ascii="方正仿宋_GBK" w:eastAsia="方正仿宋_GBK" w:hint="eastAsia"/>
          <w:sz w:val="32"/>
          <w:szCs w:val="32"/>
        </w:rPr>
        <w:fldChar w:fldCharType="separate"/>
      </w:r>
      <w:r>
        <w:rPr>
          <w:rFonts w:ascii="方正仿宋_GBK" w:eastAsia="方正仿宋_GBK" w:hint="eastAsia"/>
          <w:sz w:val="32"/>
          <w:szCs w:val="32"/>
        </w:rPr>
        <w:t>菌种</w:t>
      </w:r>
      <w:r>
        <w:rPr>
          <w:rFonts w:ascii="方正仿宋_GBK" w:eastAsia="方正仿宋_GBK" w:hint="eastAsia"/>
          <w:sz w:val="32"/>
          <w:szCs w:val="32"/>
        </w:rPr>
        <w:fldChar w:fldCharType="end"/>
      </w:r>
      <w:r>
        <w:rPr>
          <w:rFonts w:eastAsia="方正仿宋_GBK" w:hint="eastAsia"/>
          <w:bCs/>
          <w:sz w:val="32"/>
          <w:szCs w:val="32"/>
        </w:rPr>
        <w:t>、毒种等）、害虫及其他有害生物；</w:t>
      </w:r>
    </w:p>
    <w:p>
      <w:pPr>
        <w:widowControl/>
        <w:spacing w:line="560" w:lineRule="exact"/>
        <w:ind w:firstLineChars="200" w:firstLine="640"/>
        <w:rPr>
          <w:rFonts w:eastAsia="方正仿宋_GBK"/>
          <w:bCs/>
          <w:sz w:val="32"/>
          <w:szCs w:val="32"/>
        </w:rPr>
      </w:pPr>
      <w:r>
        <w:rPr>
          <w:rFonts w:eastAsia="方正仿宋_GBK" w:hint="eastAsia"/>
          <w:bCs/>
          <w:sz w:val="32"/>
          <w:szCs w:val="32"/>
        </w:rPr>
        <w:t>（二）动植物疫情流行的国家和地区的有关动植物、动植物产品和其他检疫物；</w:t>
      </w:r>
    </w:p>
    <w:p>
      <w:pPr>
        <w:widowControl/>
        <w:spacing w:line="560" w:lineRule="exact"/>
        <w:ind w:firstLineChars="200" w:firstLine="640"/>
        <w:rPr>
          <w:rFonts w:eastAsia="方正仿宋_GBK"/>
          <w:bCs/>
          <w:sz w:val="32"/>
          <w:szCs w:val="32"/>
        </w:rPr>
      </w:pPr>
      <w:r>
        <w:rPr>
          <w:rFonts w:eastAsia="方正仿宋_GBK" w:hint="eastAsia"/>
          <w:bCs/>
          <w:sz w:val="32"/>
          <w:szCs w:val="32"/>
        </w:rPr>
        <w:t>（三）动物尸体；</w:t>
      </w:r>
    </w:p>
    <w:p>
      <w:pPr>
        <w:widowControl/>
        <w:spacing w:line="560" w:lineRule="exact"/>
        <w:ind w:firstLineChars="200" w:firstLine="640"/>
        <w:rPr>
          <w:rFonts w:eastAsia="方正仿宋_GBK"/>
          <w:bCs/>
          <w:sz w:val="32"/>
          <w:szCs w:val="32"/>
        </w:rPr>
      </w:pPr>
      <w:r>
        <w:rPr>
          <w:rFonts w:eastAsia="方正仿宋_GBK" w:hint="eastAsia"/>
          <w:bCs/>
          <w:sz w:val="32"/>
          <w:szCs w:val="32"/>
        </w:rPr>
        <w:t>（四）土壤。</w:t>
      </w:r>
    </w:p>
    <w:p>
      <w:pPr>
        <w:widowControl/>
        <w:spacing w:line="560" w:lineRule="exact"/>
        <w:ind w:firstLineChars="200" w:firstLine="640"/>
        <w:rPr>
          <w:rFonts w:eastAsia="方正仿宋_GBK"/>
          <w:bCs/>
          <w:sz w:val="32"/>
          <w:szCs w:val="32"/>
        </w:rPr>
      </w:pPr>
      <w:r>
        <w:rPr>
          <w:rFonts w:eastAsia="方正仿宋_GBK" w:hint="eastAsia"/>
          <w:bCs/>
          <w:sz w:val="32"/>
          <w:szCs w:val="32"/>
        </w:rPr>
        <w:t>口岸动植物检疫机关发现有前款规定的禁止进境物的，作退回或者销毁处理。</w:t>
      </w:r>
    </w:p>
    <w:p>
      <w:pPr>
        <w:widowControl/>
        <w:spacing w:line="560" w:lineRule="exact"/>
        <w:ind w:firstLineChars="200" w:firstLine="640"/>
        <w:rPr>
          <w:rFonts w:eastAsia="方正仿宋_GBK"/>
          <w:bCs/>
          <w:sz w:val="32"/>
          <w:szCs w:val="32"/>
        </w:rPr>
      </w:pPr>
      <w:r>
        <w:rPr>
          <w:rFonts w:eastAsia="方正仿宋_GBK" w:hint="eastAsia"/>
          <w:bCs/>
          <w:sz w:val="32"/>
          <w:szCs w:val="32"/>
        </w:rPr>
        <w:t>因科学研究等特殊需要引进本条第一款规定的禁止进境物的，必须事先提出申请，经国家动植物检疫机关批准。</w:t>
      </w:r>
    </w:p>
    <w:p>
      <w:pPr>
        <w:widowControl/>
        <w:spacing w:line="560" w:lineRule="exact"/>
        <w:ind w:firstLineChars="200" w:firstLine="640"/>
        <w:rPr>
          <w:rFonts w:eastAsia="方正仿宋_GBK"/>
          <w:bCs/>
          <w:sz w:val="32"/>
          <w:szCs w:val="32"/>
        </w:rPr>
      </w:pPr>
      <w:r>
        <w:rPr>
          <w:rFonts w:eastAsia="方正仿宋_GBK" w:hint="eastAsia"/>
          <w:bCs/>
          <w:sz w:val="32"/>
          <w:szCs w:val="32"/>
        </w:rPr>
        <w:t>本条第一款第二项规定的禁止进境物的名录，由国务院农业行政主管部门制定并公布。</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第十条　输入动物、动物产品、植物种子、种苗及其他繁殖材料的，必须事先提出申请，办理检疫审批手续。</w:t>
      </w:r>
    </w:p>
    <w:p>
      <w:pPr>
        <w:widowControl/>
        <w:spacing w:line="560" w:lineRule="exact"/>
        <w:ind w:firstLineChars="200" w:firstLine="640"/>
        <w:rPr>
          <w:rFonts w:ascii="Times New Roman" w:eastAsia="方正仿宋_GBK" w:cs="Times New Roman" w:hAnsi="Times New Roman"/>
          <w:bCs/>
          <w:sz w:val="32"/>
          <w:szCs w:val="32"/>
        </w:rPr>
      </w:pPr>
      <w:r>
        <w:rPr>
          <w:rFonts w:eastAsia="方正仿宋_GBK" w:hint="eastAsia"/>
          <w:bCs/>
          <w:sz w:val="32"/>
          <w:szCs w:val="32"/>
        </w:rPr>
        <w:t>第二十八条</w:t>
      </w:r>
      <w:r>
        <w:rPr>
          <w:rFonts w:eastAsia="方正仿宋_GBK"/>
          <w:bCs/>
          <w:sz w:val="32"/>
          <w:szCs w:val="32"/>
        </w:rPr>
        <w:t xml:space="preserve"> </w:t>
      </w:r>
      <w:r>
        <w:rPr>
          <w:rFonts w:eastAsia="方正仿宋_GBK" w:hint="eastAsia"/>
          <w:bCs/>
          <w:sz w:val="32"/>
          <w:szCs w:val="32"/>
        </w:rPr>
        <w:t>携带、邮寄植物种子、种苗及其繁殖材料进境的，必须事先提出申请，办理检疫审批手续。</w:t>
      </w:r>
    </w:p>
    <w:p>
      <w:pPr>
        <w:adjustRightInd w:val="0"/>
        <w:snapToGrid w:val="0"/>
        <w:spacing w:line="540" w:lineRule="exact"/>
        <w:ind w:firstLineChars="200" w:firstLine="640"/>
        <w:rPr>
          <w:rFonts w:ascii="方正楷体_GBK" w:eastAsia="方正楷体_GBK" w:cs="Times New Roman"/>
          <w:b/>
          <w:bCs/>
          <w:sz w:val="32"/>
          <w:szCs w:val="32"/>
        </w:rPr>
      </w:pPr>
      <w:r>
        <w:rPr>
          <w:rFonts w:ascii="方正楷体_GBK" w:eastAsia="方正楷体_GBK" w:cs="Times New Roman" w:hint="eastAsia"/>
          <w:b/>
          <w:bCs/>
          <w:sz w:val="32"/>
          <w:szCs w:val="32"/>
        </w:rPr>
        <w:t>（二）《中华人民共和国进出境动植物检疫法实施条例》</w:t>
      </w:r>
    </w:p>
    <w:p>
      <w:pPr>
        <w:widowControl/>
        <w:snapToGrid w:val="0"/>
        <w:spacing w:line="540" w:lineRule="exact"/>
        <w:ind w:firstLineChars="181" w:firstLine="579"/>
        <w:rPr>
          <w:rFonts w:ascii="Times New Roman" w:eastAsia="方正仿宋_GBK" w:cs="Times New Roman" w:hAnsi="Times New Roman"/>
          <w:sz w:val="32"/>
          <w:szCs w:val="32"/>
        </w:rPr>
      </w:pPr>
      <w:r>
        <w:rPr>
          <w:rFonts w:ascii="Times New Roman" w:eastAsia="方正仿宋_GBK" w:cs="Times New Roman" w:hAnsi="Times New Roman"/>
          <w:sz w:val="32"/>
          <w:szCs w:val="32"/>
        </w:rPr>
        <w:t>第九条　输入动物、动物产品和进出境动植物检疫法第五条第一款所列禁止进境物的检疫审批，由国家动植物检疫局或者其授权的口岸动植物检疫机关负责。</w:t>
      </w:r>
    </w:p>
    <w:p>
      <w:pPr>
        <w:widowControl/>
        <w:snapToGrid w:val="0"/>
        <w:spacing w:line="540" w:lineRule="exact"/>
        <w:ind w:firstLineChars="181" w:firstLine="579"/>
        <w:rPr>
          <w:rFonts w:ascii="Times New Roman" w:eastAsia="方正仿宋_GBK" w:cs="Times New Roman" w:hAnsi="Times New Roman"/>
          <w:sz w:val="32"/>
          <w:szCs w:val="32"/>
        </w:rPr>
      </w:pPr>
      <w:r>
        <w:rPr>
          <w:rFonts w:ascii="Times New Roman" w:eastAsia="方正仿宋_GBK" w:cs="Times New Roman" w:hAnsi="Times New Roman"/>
          <w:sz w:val="32"/>
          <w:szCs w:val="32"/>
        </w:rPr>
        <w:t>输入植物种子、种苗及其他繁殖材料的检疫审批，由植物检疫条例规定的机关负责。</w:t>
      </w:r>
    </w:p>
    <w:p>
      <w:pPr>
        <w:widowControl/>
        <w:spacing w:line="560" w:lineRule="exact"/>
        <w:ind w:firstLineChars="200" w:firstLine="640"/>
        <w:rPr>
          <w:rFonts w:eastAsia="方正仿宋_GBK"/>
          <w:bCs/>
          <w:sz w:val="32"/>
          <w:szCs w:val="32"/>
        </w:rPr>
      </w:pPr>
      <w:r>
        <w:rPr>
          <w:rFonts w:eastAsia="方正仿宋_GBK" w:hint="eastAsia"/>
          <w:bCs/>
          <w:sz w:val="32"/>
          <w:szCs w:val="32"/>
        </w:rPr>
        <w:t>第十二条</w:t>
      </w:r>
      <w:r>
        <w:rPr>
          <w:rFonts w:eastAsia="方正仿宋_GBK"/>
          <w:bCs/>
          <w:sz w:val="32"/>
          <w:szCs w:val="32"/>
        </w:rPr>
        <w:t xml:space="preserve"> </w:t>
      </w:r>
      <w:r>
        <w:rPr>
          <w:rFonts w:eastAsia="方正仿宋_GBK" w:hint="eastAsia"/>
          <w:bCs/>
          <w:sz w:val="32"/>
          <w:szCs w:val="32"/>
        </w:rPr>
        <w:t>携带、邮寄植物种子、种苗及其他繁殖材料进境的，必须事先提出申请，办理检疫审批手续；因特殊情况无法事先办理的，携带人或者邮寄人应当在口岸补办检疫审批手续，经审批机关同意并经检疫合格后方准进境。</w:t>
      </w:r>
    </w:p>
    <w:p>
      <w:pPr>
        <w:adjustRightInd w:val="0"/>
        <w:snapToGrid w:val="0"/>
        <w:spacing w:line="540" w:lineRule="exact"/>
        <w:ind w:firstLineChars="200" w:firstLine="640"/>
        <w:rPr>
          <w:rFonts w:ascii="方正楷体_GBK" w:eastAsia="方正楷体_GBK" w:cs="Times New Roman"/>
          <w:b/>
          <w:bCs/>
          <w:sz w:val="32"/>
          <w:szCs w:val="32"/>
        </w:rPr>
      </w:pPr>
      <w:r>
        <w:rPr>
          <w:rFonts w:ascii="方正楷体_GBK" w:eastAsia="方正楷体_GBK" w:cs="Times New Roman" w:hint="eastAsia"/>
          <w:b/>
          <w:bCs/>
          <w:sz w:val="32"/>
          <w:szCs w:val="32"/>
        </w:rPr>
        <w:t>（三）《进境动植物检疫审批管理办法》</w:t>
      </w:r>
    </w:p>
    <w:p>
      <w:pPr>
        <w:pStyle w:val="24"/>
        <w:spacing w:line="560" w:lineRule="exact"/>
        <w:ind w:firstLineChars="200" w:firstLine="640"/>
        <w:rPr>
          <w:rFonts w:ascii="Times New Roman" w:eastAsia="方正仿宋_GBK" w:hAnsi="Times New Roman"/>
          <w:bCs/>
          <w:color w:val="000000"/>
          <w:sz w:val="32"/>
          <w:szCs w:val="32"/>
        </w:rPr>
      </w:pPr>
      <w:r>
        <w:rPr>
          <w:rFonts w:eastAsia="方正仿宋_GBK" w:hint="eastAsia"/>
          <w:bCs/>
          <w:color w:val="000000"/>
          <w:sz w:val="32"/>
          <w:szCs w:val="32"/>
        </w:rPr>
        <w:t>第五条</w:t>
      </w:r>
      <w:r>
        <w:rPr>
          <w:rFonts w:eastAsia="方正仿宋_GBK"/>
          <w:bCs/>
          <w:color w:val="000000"/>
          <w:sz w:val="32"/>
          <w:szCs w:val="32"/>
        </w:rPr>
        <w:t xml:space="preserve">  </w:t>
      </w:r>
      <w:r>
        <w:rPr>
          <w:rFonts w:eastAsia="方正仿宋_GBK" w:hint="eastAsia"/>
          <w:bCs/>
          <w:color w:val="000000"/>
          <w:sz w:val="32"/>
          <w:szCs w:val="32"/>
        </w:rPr>
        <w:t>申请单位应当在签订贸易合同或者协议前，向审批机构提出申请并取得《检疫许可证》。</w:t>
      </w:r>
    </w:p>
    <w:p>
      <w:pPr>
        <w:spacing w:line="560" w:lineRule="exact"/>
        <w:ind w:firstLineChars="200" w:firstLine="640"/>
        <w:rPr>
          <w:rFonts w:eastAsia="方正仿宋_GBK"/>
          <w:bCs/>
          <w:color w:val="000000"/>
          <w:sz w:val="32"/>
          <w:szCs w:val="32"/>
        </w:rPr>
      </w:pPr>
      <w:r>
        <w:rPr>
          <w:rFonts w:eastAsia="方正仿宋_GBK" w:hint="eastAsia"/>
          <w:bCs/>
          <w:color w:val="000000"/>
          <w:sz w:val="32"/>
          <w:szCs w:val="32"/>
        </w:rPr>
        <w:t>过境动物在过境前，申请单位应当向海关总署提出申请并取得《检疫许可证》。</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适用范围：</w:t>
      </w:r>
      <w:r>
        <w:rPr>
          <w:rFonts w:ascii="Times New Roman" w:eastAsia="方正仿宋_GBK" w:cs="Times New Roman" w:hAnsi="Times New Roman"/>
          <w:sz w:val="32"/>
          <w:szCs w:val="32"/>
        </w:rPr>
        <w:t>本项目适用于</w:t>
      </w:r>
      <w:r>
        <w:rPr>
          <w:rFonts w:ascii="Times New Roman" w:eastAsia="方正仿宋_GBK" w:cs="Times New Roman" w:hAnsi="Times New Roman" w:hint="eastAsia"/>
          <w:sz w:val="32"/>
          <w:szCs w:val="32"/>
        </w:rPr>
        <w:t>过境动物、</w:t>
      </w:r>
      <w:r>
        <w:rPr>
          <w:rFonts w:ascii="Times New Roman" w:eastAsia="方正仿宋_GBK" w:cs="Times New Roman" w:hAnsi="Times New Roman"/>
          <w:sz w:val="32"/>
          <w:szCs w:val="32"/>
        </w:rPr>
        <w:t>进境特定动植物及其产品检疫审批事项的申请和办理，具体包括以下品种：</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（一）进境活动物（含动物，胚胎、精液、受精卵、种蛋及其他动物遗传物质）、生物材料、非食用动物产品、饲料及饲料添加剂、果蔬类、烟草类、粮谷类、豆类、薯类等；</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（二）过境动物；</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（三）特许审批范围包括：动植物病原体（包括菌种、毒种等）、害虫以及其他有害生物，动植物疫情流行国家和地区的有关动植物、动植物产品和其他检疫物，动物尸体，土壤。</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四、实施机构：</w:t>
      </w:r>
      <w:r>
        <w:rPr>
          <w:rFonts w:ascii="Times New Roman" w:eastAsia="方正仿宋_GBK" w:cs="Times New Roman" w:hAnsi="Times New Roman"/>
          <w:sz w:val="32"/>
          <w:szCs w:val="32"/>
        </w:rPr>
        <w:t>海关总署、福中海关</w:t>
      </w:r>
    </w:p>
    <w:p>
      <w:pPr>
        <w:widowControl/>
        <w:snapToGrid w:val="0"/>
        <w:spacing w:line="54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五、法定办结时限：</w:t>
      </w:r>
      <w:r>
        <w:rPr>
          <w:rFonts w:ascii="Times New Roman" w:eastAsia="方正仿宋_GBK" w:cs="Times New Roman" w:hAnsi="Times New Roman"/>
          <w:sz w:val="32"/>
          <w:szCs w:val="32"/>
        </w:rPr>
        <w:t>自受理申请之日起20个工作日内作出准予许可或不予许可的决定。20个工作日内不能作出决定的，经本行政机关负责人批准，延长10个工作日。</w:t>
      </w: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六、</w:t>
      </w:r>
      <w:r>
        <w:rPr>
          <w:rFonts w:ascii="Times New Roman" w:eastAsia="方正黑体_GBK" w:cs="Times New Roman" w:hAnsi="Times New Roman"/>
          <w:color w:val="000000"/>
          <w:sz w:val="32"/>
          <w:szCs w:val="32"/>
        </w:rPr>
        <w:t>承诺办结时限</w:t>
      </w:r>
      <w:r>
        <w:rPr>
          <w:rFonts w:ascii="Times New Roman" w:eastAsia="方正黑体_GBK" w:cs="Times New Roman" w:hAnsi="Times New Roman"/>
          <w:sz w:val="32"/>
          <w:szCs w:val="32"/>
        </w:rPr>
        <w:t>：</w:t>
      </w:r>
      <w:r>
        <w:rPr>
          <w:rFonts w:eastAsia="方正仿宋_GBK" w:hint="eastAsia"/>
          <w:sz w:val="32"/>
          <w:szCs w:val="32"/>
        </w:rPr>
        <w:t>进境生物材料检疫审批自受理之日起</w:t>
      </w:r>
      <w:r>
        <w:rPr>
          <w:rFonts w:eastAsia="方正仿宋_GBK"/>
          <w:sz w:val="32"/>
          <w:szCs w:val="32"/>
        </w:rPr>
        <w:t>7</w:t>
      </w:r>
      <w:r>
        <w:rPr>
          <w:rFonts w:eastAsia="方正仿宋_GBK" w:hint="eastAsia"/>
          <w:sz w:val="32"/>
          <w:szCs w:val="32"/>
        </w:rPr>
        <w:t>个工作日内完成。</w:t>
      </w:r>
    </w:p>
    <w:p>
      <w:pPr>
        <w:widowControl/>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七、结果名称：</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1.《中华人民共和国XXX海关准予行政许可决定书》；</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2.</w:t>
      </w:r>
      <w:r>
        <w:rPr>
          <w:rFonts w:ascii="Times New Roman" w:eastAsia="方正仿宋_GBK" w:cs="Times New Roman" w:hAnsi="Times New Roman" w:hint="eastAsia"/>
          <w:color w:val="333333"/>
          <w:sz w:val="32"/>
          <w:szCs w:val="32"/>
        </w:rPr>
        <w:t>《中华人民共和国进境动植物检疫许可证》；</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3.《中华人民共和国XXX海关不予行政许可决定书》。</w:t>
      </w:r>
    </w:p>
    <w:p>
      <w:pPr>
        <w:widowControl/>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八、结果样本：</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1.《中华人民共和国XXX海关准予行政许可决定书》（附件1）；</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2.</w:t>
      </w:r>
      <w:r>
        <w:rPr>
          <w:rFonts w:ascii="Times New Roman" w:eastAsia="方正仿宋_GBK" w:cs="Times New Roman" w:hAnsi="Times New Roman" w:hint="eastAsia"/>
          <w:color w:val="333333"/>
          <w:sz w:val="32"/>
          <w:szCs w:val="32"/>
        </w:rPr>
        <w:t>《中华人民共和国进境动植物检疫许可证》（附件</w:t>
      </w:r>
      <w:r>
        <w:rPr>
          <w:rFonts w:ascii="Times New Roman" w:eastAsia="方正仿宋_GBK" w:cs="Times New Roman" w:hAnsi="Times New Roman"/>
          <w:color w:val="333333"/>
          <w:sz w:val="32"/>
          <w:szCs w:val="32"/>
        </w:rPr>
        <w:t>2</w:t>
      </w:r>
      <w:r>
        <w:rPr>
          <w:rFonts w:ascii="Times New Roman" w:eastAsia="方正仿宋_GBK" w:cs="Times New Roman" w:hAnsi="Times New Roman" w:hint="eastAsia"/>
          <w:color w:val="333333"/>
          <w:sz w:val="32"/>
          <w:szCs w:val="32"/>
        </w:rPr>
        <w:t>）；</w:t>
      </w:r>
    </w:p>
    <w:p>
      <w:pPr>
        <w:widowControl/>
        <w:snapToGrid w:val="0"/>
        <w:spacing w:line="54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3.《中华人民共和国XXX海关不予行政许可决定书》（附件3）。</w:t>
      </w:r>
    </w:p>
    <w:p>
      <w:pPr>
        <w:pStyle w:val="17"/>
        <w:shd w:val="clear" w:color="auto" w:fill="FFFFFF"/>
        <w:spacing w:before="0" w:beforeAutospacing="0" w:after="0" w:afterAutospacing="0" w:line="54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九、收费标准：</w:t>
      </w:r>
      <w:r>
        <w:rPr>
          <w:rFonts w:ascii="Times New Roman" w:eastAsia="方正仿宋_GBK" w:cs="Times New Roman" w:hAnsi="Times New Roman"/>
          <w:color w:val="333333"/>
          <w:sz w:val="32"/>
          <w:szCs w:val="32"/>
        </w:rPr>
        <w:t>不收费</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4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十、收费依据：</w:t>
      </w:r>
      <w:r>
        <w:rPr>
          <w:rFonts w:ascii="Times New Roman" w:eastAsia="方正仿宋_GBK" w:cs="Times New Roman" w:hAnsi="Times New Roman"/>
          <w:color w:val="333333"/>
          <w:sz w:val="32"/>
          <w:szCs w:val="32"/>
        </w:rPr>
        <w:t>无</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4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十一、申请条件</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（一）申请办理检疫审批手续的单位应当是具有独立法人资格并直接对外签订贸易合同或者协议的单位；</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（二）输出和途经国家或者地区无相关的动植物疫情；</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（三）符合中国有关动植物检疫法律法规和部门规章的规定；</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（四）符合中国与输出国家或者地区签订的双边检疫协定（包括检疫协议、议定书、备忘录等）；</w:t>
      </w:r>
    </w:p>
    <w:p>
      <w:pPr>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（五）进境动物遗传物质、非食用动物产品、水果、烟草、粮食、饲料及饲料添加剂、水生动物，输出国家（地区）和生产企业应在海关总署公布的相关检验检疫准入名单内</w:t>
      </w:r>
      <w:r>
        <w:rPr>
          <w:rFonts w:ascii="Times New Roman" w:eastAsia="方正仿宋_GBK" w:cs="Times New Roman" w:hAnsi="Times New Roman" w:hint="eastAsia"/>
          <w:sz w:val="32"/>
          <w:szCs w:val="32"/>
        </w:rPr>
        <w:t>。</w:t>
      </w:r>
    </w:p>
    <w:p>
      <w:pPr>
        <w:pStyle w:val="17"/>
        <w:shd w:val="clear" w:color="auto" w:fill="FFFFFF"/>
        <w:spacing w:before="0" w:beforeAutospacing="0" w:after="0" w:afterAutospacing="0" w:line="54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十二、申请材料</w:t>
      </w:r>
    </w:p>
    <w:p>
      <w:pPr>
        <w:pStyle w:val="17"/>
        <w:shd w:val="clear" w:color="auto" w:fill="FFFFFF"/>
        <w:spacing w:before="0" w:beforeAutospacing="0" w:after="0" w:afterAutospacing="0" w:line="540" w:lineRule="exact"/>
        <w:ind w:firstLineChars="200" w:firstLine="640"/>
        <w:rPr>
          <w:rFonts w:ascii="Times New Roman" w:eastAsia="方正黑体_GBK" w:cs="Times New Roman" w:hAnsi="Times New Roman"/>
          <w:sz w:val="32"/>
          <w:szCs w:val="32"/>
        </w:rPr>
      </w:pPr>
      <w:r>
        <w:rPr>
          <w:rFonts w:ascii="Times New Roman" w:eastAsia="方正仿宋_GBK" w:cs="Times New Roman" w:hAnsi="Times New Roman" w:hint="eastAsia"/>
          <w:sz w:val="32"/>
          <w:szCs w:val="32"/>
        </w:rPr>
        <w:t>网上办理请提交电子材料，窗口办理请递交纸质材料</w:t>
      </w:r>
    </w:p>
    <w:tbl>
      <w:tblPr>
        <w:jc w:val="center"/>
        <w:tblW w:w="8436"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1065"/>
        <w:gridCol w:w="3111"/>
        <w:gridCol w:w="992"/>
        <w:gridCol w:w="851"/>
        <w:gridCol w:w="1276"/>
        <w:gridCol w:w="1141"/>
      </w:tblGrid>
      <w:tr>
        <w:trPr>
          <w:cantSplit/>
          <w:tblHeader/>
        </w:trPr>
        <w:tc>
          <w:tcPr>
            <w:tcW w:w="1065"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类别</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提交材料名称</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原件/复印件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份数</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纸质/电子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56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要求</w:t>
            </w:r>
          </w:p>
        </w:tc>
      </w:tr>
      <w:tr>
        <w:trPr>
          <w:cantSplit/>
        </w:trPr>
        <w:tc>
          <w:tcPr>
            <w:tcW w:w="1065" w:type="dxa"/>
            <w:vMerge w:val="restart"/>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进境活动物</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1.进境动物指定隔离场使用证（食用水生动物除外）</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加盖海关公章</w:t>
            </w:r>
          </w:p>
        </w:tc>
      </w:tr>
      <w:tr>
        <w:trPr>
          <w:cantSplit/>
        </w:trPr>
        <w:tc>
          <w:tcPr>
            <w:tcW w:w="1065" w:type="dxa"/>
            <w:vMerge/>
            <w:tcBorders>
              <w:top w:val="single" w:sz="4" w:space="0" w:color="auto"/>
              <w:left w:val="single" w:sz="4" w:space="0" w:color="auto"/>
              <w:bottom w:val="single" w:sz="4" w:space="0" w:color="auto"/>
              <w:right w:val="single" w:sz="4" w:space="0" w:color="auto"/>
            </w:tcBorders>
            <w:vAlign w:val="center"/>
          </w:tcP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2.进境水生动物自输出国家或者地区出境后中转第三方国家或者地区进境的，收货人或者其代理人办理检疫许可证时应当提供运输路线及在第三方国家或者地区中转处理情况，包括是否离开海关监管区、更换运输工具、拆换包装以及进入第三方国家或者地区水体环境等。</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p>
        </w:tc>
      </w:tr>
      <w:tr>
        <w:trPr>
          <w:cantSplit/>
        </w:trPr>
        <w:tc>
          <w:tcPr>
            <w:tcW w:w="1065"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进境动物遗传物质</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代理进口的，提供与货主签订的代理进口合同或者协议</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cantSplit/>
        </w:trPr>
        <w:tc>
          <w:tcPr>
            <w:tcW w:w="1065"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进境非食用动物产品</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I级风险非食用动物产品需提供生产、加工、存放单位信息以及符合海关要求的生产、加工、存放能力证明材料。</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trHeight w:val="2390"/>
        </w:trPr>
        <w:tc>
          <w:tcPr>
            <w:tcW w:w="1065" w:type="dxa"/>
            <w:vMerge w:val="restart"/>
            <w:tcBorders>
              <w:top w:val="single" w:sz="4" w:space="0" w:color="auto"/>
              <w:left w:val="single" w:sz="4" w:space="0" w:color="auto"/>
              <w:bottom w:val="single" w:sz="4" w:space="0" w:color="auto"/>
              <w:right w:val="single" w:sz="4" w:space="0" w:color="auto"/>
            </w:tcBorders>
            <w:vAlign w:val="center"/>
          </w:tcPr>
          <w:p>
            <w:pPr>
              <w:pStyle w:val="24"/>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进境生物材料（一级和二级风险产品）</w:t>
            </w:r>
          </w:p>
        </w:tc>
        <w:tc>
          <w:tcPr>
            <w:tcW w:w="3111" w:type="dxa"/>
            <w:tcBorders>
              <w:top w:val="single" w:sz="4" w:space="0" w:color="auto"/>
              <w:left w:val="single" w:sz="4" w:space="0" w:color="auto"/>
              <w:bottom w:val="single" w:sz="4" w:space="0" w:color="auto"/>
              <w:right w:val="single" w:sz="4" w:space="0" w:color="auto"/>
            </w:tcBorders>
            <w:vAlign w:val="center"/>
          </w:tcPr>
          <w:p>
            <w:pPr>
              <w:pStyle w:val="16"/>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1.说明数量、用途、引进方式、进境后防疫措施的书面声明</w:t>
            </w:r>
          </w:p>
        </w:tc>
        <w:tc>
          <w:tcPr>
            <w:tcW w:w="992" w:type="dxa"/>
            <w:tcBorders>
              <w:top w:val="single" w:sz="4" w:space="0" w:color="auto"/>
              <w:left w:val="single" w:sz="4" w:space="0" w:color="auto"/>
              <w:bottom w:val="single" w:sz="4" w:space="0" w:color="auto"/>
              <w:right w:val="single" w:sz="4" w:space="0" w:color="auto"/>
            </w:tcBorders>
            <w:vAlign w:val="center"/>
          </w:tcPr>
          <w:p>
            <w:pPr>
              <w:pStyle w:val="20"/>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pStyle w:val="21"/>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pStyle w:val="22"/>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pStyle w:val="23"/>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cantSplit/>
          <w:trHeight w:val="1190"/>
        </w:trPr>
        <w:tc>
          <w:tcPr>
            <w:tcW w:w="1065" w:type="dxa"/>
            <w:vMerge/>
            <w:tcBorders>
              <w:top w:val="single" w:sz="4" w:space="0" w:color="auto"/>
              <w:left w:val="single" w:sz="4" w:space="0" w:color="auto"/>
              <w:bottom w:val="single" w:sz="4" w:space="0" w:color="auto"/>
              <w:right w:val="single" w:sz="4" w:space="0" w:color="auto"/>
            </w:tcBorders>
            <w:vAlign w:val="center"/>
          </w:tcP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2.科学研究的立项报告及相关主管部门的批准立项证明文件</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trHeight w:val="1190"/>
        </w:trPr>
        <w:tc>
          <w:tcPr>
            <w:tcW w:w="1065" w:type="dxa"/>
            <w:tcBorders>
              <w:top w:val="single" w:sz="4" w:space="0" w:color="auto"/>
              <w:left w:val="single" w:sz="4" w:space="0" w:color="auto"/>
              <w:bottom w:val="single" w:sz="4" w:space="0" w:color="auto"/>
              <w:right w:val="single" w:sz="4" w:space="0" w:color="auto"/>
            </w:tcBorders>
            <w:vAlign w:val="center"/>
          </w:tcPr>
          <w:p>
            <w:pPr>
              <w:pStyle w:val="24"/>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进境粮食</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《进口粮食检疫初审联系单》</w:t>
            </w:r>
          </w:p>
        </w:tc>
        <w:tc>
          <w:tcPr>
            <w:tcW w:w="992" w:type="dxa"/>
            <w:tcBorders>
              <w:top w:val="single" w:sz="4" w:space="0" w:color="auto"/>
              <w:left w:val="single" w:sz="4" w:space="0" w:color="auto"/>
              <w:bottom w:val="single" w:sz="4" w:space="0" w:color="auto"/>
              <w:right w:val="single" w:sz="4" w:space="0" w:color="auto"/>
            </w:tcBorders>
            <w:vAlign w:val="center"/>
          </w:tcPr>
          <w:p>
            <w:pPr>
              <w:pStyle w:val="31"/>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原件/电子化</w:t>
            </w:r>
          </w:p>
        </w:tc>
        <w:tc>
          <w:tcPr>
            <w:tcW w:w="851" w:type="dxa"/>
            <w:tcBorders>
              <w:top w:val="single" w:sz="4" w:space="0" w:color="auto"/>
              <w:left w:val="single" w:sz="4" w:space="0" w:color="auto"/>
              <w:bottom w:val="single" w:sz="4" w:space="0" w:color="auto"/>
              <w:right w:val="single" w:sz="4" w:space="0" w:color="auto"/>
            </w:tcBorders>
            <w:vAlign w:val="center"/>
          </w:tcPr>
          <w:p>
            <w:pPr>
              <w:pStyle w:val="32"/>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pStyle w:val="33"/>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方正仿宋_GBK" w:hint="eastAsia"/>
                <w:kern w:val="0"/>
                <w:sz w:val="24"/>
                <w:szCs w:val="24"/>
                <w:lang w:val="zh-CN"/>
              </w:rPr>
              <w:t>加盖企业公章</w:t>
            </w:r>
          </w:p>
        </w:tc>
      </w:tr>
      <w:tr>
        <w:trPr>
          <w:trHeight w:val="1190"/>
        </w:trPr>
        <w:tc>
          <w:tcPr>
            <w:tcW w:w="1065" w:type="dxa"/>
            <w:tcBorders>
              <w:top w:val="single" w:sz="4" w:space="0" w:color="auto"/>
              <w:left w:val="single" w:sz="4" w:space="0" w:color="auto"/>
              <w:bottom w:val="single" w:sz="4" w:space="0" w:color="auto"/>
              <w:right w:val="single" w:sz="4" w:space="0" w:color="auto"/>
            </w:tcBorders>
            <w:vAlign w:val="center"/>
          </w:tcPr>
          <w:p>
            <w:pPr>
              <w:pStyle w:val="24"/>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进境烟叶</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生产加工存放单位考核报告</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p>
        </w:tc>
      </w:tr>
      <w:tr>
        <w:trPr>
          <w:cantSplit/>
        </w:trPr>
        <w:tc>
          <w:tcPr>
            <w:tcW w:w="1065"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进境饲料</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I级风险的饲料和饲料添加剂需提供生产、加工、存放单位信息以及符合海关要求的生产、加工、存放能力证明材料。</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c>
          <w:tcPr>
            <w:tcW w:w="1065" w:type="dxa"/>
            <w:vMerge w:val="restart"/>
            <w:tcBorders>
              <w:top w:val="single" w:sz="4" w:space="0" w:color="auto"/>
              <w:left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过境动物</w:t>
            </w:r>
          </w:p>
        </w:tc>
        <w:tc>
          <w:tcPr>
            <w:tcW w:w="3111" w:type="dxa"/>
            <w:tcBorders>
              <w:top w:val="single" w:sz="4" w:space="0" w:color="auto"/>
              <w:left w:val="single" w:sz="4" w:space="0" w:color="auto"/>
              <w:bottom w:val="single" w:sz="4" w:space="0" w:color="auto"/>
              <w:right w:val="single" w:sz="4" w:space="0" w:color="auto"/>
            </w:tcBorders>
            <w:vAlign w:val="center"/>
          </w:tcPr>
          <w:p>
            <w:pPr>
              <w:pStyle w:val="25"/>
              <w:autoSpaceDN w:val="0"/>
              <w:adjustRightInd w:val="0"/>
              <w:snapToGrid w:val="0"/>
              <w:spacing w:line="400" w:lineRule="exact"/>
              <w:ind w:firstLineChars="50" w:firstLine="120"/>
              <w:jc w:val="center"/>
              <w:rPr>
                <w:rFonts w:ascii="方正仿宋_GBK" w:eastAsia="方正仿宋_GBK" w:cs="Times New Roman"/>
                <w:bCs/>
                <w:sz w:val="24"/>
                <w:szCs w:val="24"/>
              </w:rPr>
            </w:pPr>
            <w:r>
              <w:rPr>
                <w:rFonts w:ascii="方正仿宋_GBK" w:eastAsia="方正仿宋_GBK" w:cs="Times New Roman" w:hint="eastAsia"/>
                <w:bCs/>
                <w:sz w:val="24"/>
                <w:szCs w:val="24"/>
              </w:rPr>
              <w:t>1.过境路线</w:t>
            </w:r>
          </w:p>
        </w:tc>
        <w:tc>
          <w:tcPr>
            <w:tcW w:w="992" w:type="dxa"/>
            <w:tcBorders>
              <w:top w:val="single" w:sz="4" w:space="0" w:color="auto"/>
              <w:left w:val="single" w:sz="4" w:space="0" w:color="auto"/>
              <w:bottom w:val="single" w:sz="4" w:space="0" w:color="auto"/>
              <w:right w:val="single" w:sz="4" w:space="0" w:color="auto"/>
            </w:tcBorders>
            <w:vAlign w:val="center"/>
          </w:tcPr>
          <w:p>
            <w:pPr>
              <w:pStyle w:val="26"/>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pStyle w:val="27"/>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pStyle w:val="28"/>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pStyle w:val="29"/>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cantSplit/>
        </w:trPr>
        <w:tc>
          <w:tcPr>
            <w:tcW w:w="1065" w:type="dxa"/>
            <w:vMerge/>
            <w:tcBorders>
              <w:left w:val="single" w:sz="4" w:space="0" w:color="auto"/>
              <w:right w:val="single" w:sz="4" w:space="0" w:color="auto"/>
            </w:tcBorders>
            <w:vAlign w:val="center"/>
          </w:tcP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2.输出国家或者地区官方检疫部门出具的动物卫生证书</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p>
        </w:tc>
      </w:tr>
      <w:tr>
        <w:trPr>
          <w:cantSplit/>
        </w:trPr>
        <w:tc>
          <w:tcPr>
            <w:tcW w:w="1065" w:type="dxa"/>
            <w:vMerge/>
            <w:tcBorders>
              <w:left w:val="single" w:sz="4" w:space="0" w:color="auto"/>
              <w:bottom w:val="single" w:sz="4" w:space="0" w:color="auto"/>
              <w:right w:val="single" w:sz="4" w:space="0" w:color="auto"/>
            </w:tcBorders>
            <w:vAlign w:val="center"/>
          </w:tcP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3.输入国家或者地区官方检疫部门出具的准许动物进境的证明文件</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p>
        </w:tc>
      </w:tr>
      <w:tr>
        <w:trPr>
          <w:cantSplit/>
          <w:trHeight w:val="1190"/>
        </w:trPr>
        <w:tc>
          <w:tcPr>
            <w:tcW w:w="1065" w:type="dxa"/>
            <w:vMerge w:val="restart"/>
            <w:tcBorders>
              <w:top w:val="single" w:sz="4" w:space="0" w:color="auto"/>
              <w:left w:val="single" w:sz="4" w:space="0" w:color="auto"/>
              <w:bottom w:val="single" w:sz="4" w:space="0" w:color="auto"/>
              <w:right w:val="single" w:sz="4" w:space="0" w:color="auto"/>
            </w:tcBorders>
            <w:vAlign w:val="center"/>
          </w:tcPr>
          <w:p>
            <w:pPr>
              <w:pStyle w:val="30"/>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特许审批</w:t>
            </w: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1.说明其数量、用途、引进方式、进境后的防疫措施书面声明</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r>
        <w:trPr>
          <w:trHeight w:val="1590"/>
        </w:trPr>
        <w:tc>
          <w:tcPr>
            <w:tcW w:w="1065" w:type="dxa"/>
            <w:vMerge/>
            <w:tcBorders>
              <w:top w:val="single" w:sz="4" w:space="0" w:color="auto"/>
              <w:left w:val="single" w:sz="4" w:space="0" w:color="auto"/>
              <w:bottom w:val="single" w:sz="4" w:space="0" w:color="auto"/>
              <w:right w:val="single" w:sz="4" w:space="0" w:color="auto"/>
            </w:tcBorders>
            <w:vAlign w:val="center"/>
          </w:tcPr>
          <w:p/>
        </w:tc>
        <w:tc>
          <w:tcPr>
            <w:tcW w:w="311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jc w:val="center"/>
              <w:rPr>
                <w:rFonts w:ascii="方正仿宋_GBK" w:eastAsia="方正仿宋_GBK" w:cs="Times New Roman"/>
                <w:bCs/>
                <w:sz w:val="24"/>
                <w:szCs w:val="24"/>
              </w:rPr>
            </w:pPr>
            <w:r>
              <w:rPr>
                <w:rFonts w:ascii="方正仿宋_GBK" w:eastAsia="方正仿宋_GBK" w:cs="Times New Roman" w:hint="eastAsia"/>
                <w:bCs/>
                <w:sz w:val="24"/>
                <w:szCs w:val="24"/>
              </w:rPr>
              <w:t>2.科学研究的立项报告及相关主管部门的批准立项证明文件。</w:t>
            </w:r>
          </w:p>
        </w:tc>
        <w:tc>
          <w:tcPr>
            <w:tcW w:w="992"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原件/复印件</w:t>
            </w:r>
          </w:p>
        </w:tc>
        <w:tc>
          <w:tcPr>
            <w:tcW w:w="85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1份</w:t>
            </w:r>
          </w:p>
        </w:tc>
        <w:tc>
          <w:tcPr>
            <w:tcW w:w="1276"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c>
          <w:tcPr>
            <w:tcW w:w="1141" w:type="dxa"/>
            <w:tcBorders>
              <w:top w:val="single" w:sz="4" w:space="0" w:color="auto"/>
              <w:left w:val="single" w:sz="4" w:space="0" w:color="auto"/>
              <w:bottom w:val="single" w:sz="4" w:space="0" w:color="auto"/>
              <w:right w:val="single" w:sz="4" w:space="0" w:color="auto"/>
            </w:tcBorders>
            <w:vAlign w:val="center"/>
          </w:tcPr>
          <w:p>
            <w:pPr>
              <w:autoSpaceDN w:val="0"/>
              <w:adjustRightInd w:val="0"/>
              <w:snapToGrid w:val="0"/>
              <w:spacing w:line="40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加盖企业公章</w:t>
            </w:r>
          </w:p>
        </w:tc>
      </w:tr>
    </w:tbl>
    <w:p>
      <w:pPr>
        <w:adjustRightInd w:val="0"/>
        <w:snapToGrid w:val="0"/>
        <w:spacing w:line="54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材料说明：企业声明等相关材料无固定格式，申请人自拟说明相关情况即可。</w:t>
      </w:r>
    </w:p>
    <w:p>
      <w:pPr>
        <w:adjustRightInd w:val="0"/>
        <w:snapToGrid w:val="0"/>
        <w:spacing w:line="54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十三、办理流程：</w:t>
      </w:r>
    </w:p>
    <w:p>
      <w:pPr>
        <w:adjustRightInd w:val="0"/>
        <w:snapToGrid w:val="0"/>
        <w:spacing w:line="54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（一）流程描述。</w:t>
      </w:r>
    </w:p>
    <w:p>
      <w:pPr>
        <w:autoSpaceDN w:val="0"/>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方正仿宋_GBK" w:eastAsia="方正仿宋_GBK" w:cs="方正仿宋_GBK" w:hint="eastAsia"/>
          <w:kern w:val="0"/>
          <w:sz w:val="32"/>
          <w:szCs w:val="32"/>
        </w:rPr>
        <w:t xml:space="preserve"> 申请单位登录</w:t>
      </w:r>
      <w:r>
        <w:rPr>
          <w:rFonts w:eastAsia="方正仿宋_GBK" w:hint="eastAsia"/>
          <w:sz w:val="32"/>
          <w:szCs w:val="32"/>
        </w:rPr>
        <w:t>“</w:t>
      </w:r>
      <w:r>
        <w:rPr>
          <w:rFonts w:eastAsia="方正仿宋_GBK"/>
          <w:sz w:val="32"/>
          <w:szCs w:val="32"/>
        </w:rPr>
        <w:t>海关政务服务平台</w:t>
      </w:r>
      <w:r>
        <w:rPr>
          <w:rFonts w:eastAsia="方正仿宋_GBK" w:hint="eastAsia"/>
          <w:sz w:val="32"/>
          <w:szCs w:val="32"/>
        </w:rPr>
        <w:t>”</w:t>
      </w:r>
      <w:r>
        <w:rPr>
          <w:rFonts w:eastAsia="方正仿宋_GBK" w:hint="eastAsia"/>
          <w:bCs/>
          <w:sz w:val="32"/>
          <w:szCs w:val="32"/>
        </w:rPr>
        <w:t>（网址：</w:t>
      </w:r>
      <w:r>
        <w:rPr>
          <w:rFonts w:eastAsia="方正仿宋_GBK"/>
          <w:bCs/>
          <w:sz w:val="32"/>
          <w:szCs w:val="32"/>
        </w:rPr>
        <w:t>http://online.customs.gov.cn</w:t>
      </w:r>
      <w:r>
        <w:rPr>
          <w:rFonts w:eastAsia="方正仿宋_GBK" w:hint="eastAsia"/>
          <w:bCs/>
          <w:sz w:val="32"/>
          <w:szCs w:val="32"/>
        </w:rPr>
        <w:t>）</w:t>
      </w:r>
      <w:r>
        <w:rPr>
          <w:rFonts w:eastAsia="方正仿宋_GBK" w:hint="eastAsia"/>
          <w:sz w:val="32"/>
          <w:szCs w:val="32"/>
        </w:rPr>
        <w:t>或海关行政审批网上办理平台（网址</w:t>
      </w:r>
      <w:r>
        <w:rPr>
          <w:rFonts w:eastAsia="方正仿宋_GBK"/>
          <w:sz w:val="32"/>
          <w:szCs w:val="32"/>
        </w:rPr>
        <w:t>http://pre.chinaport.gov.cn/car</w:t>
      </w:r>
      <w:r>
        <w:rPr>
          <w:rFonts w:eastAsia="方正仿宋_GBK" w:hint="eastAsia"/>
          <w:sz w:val="32"/>
          <w:szCs w:val="32"/>
        </w:rPr>
        <w:t>）或现场窗口</w:t>
      </w:r>
      <w:r>
        <w:rPr>
          <w:rFonts w:ascii="方正仿宋_GBK" w:eastAsia="方正仿宋_GBK" w:cs="方正仿宋_GBK" w:hint="eastAsia"/>
          <w:kern w:val="0"/>
          <w:sz w:val="32"/>
          <w:szCs w:val="32"/>
        </w:rPr>
        <w:t>向海关提交材料。海关向申请人出具</w:t>
      </w:r>
      <w:r>
        <w:rPr>
          <w:rFonts w:ascii="方正仿宋_GBK" w:eastAsia="方正仿宋_GBK" w:cs="方正仿宋_GBK" w:hint="eastAsia"/>
          <w:sz w:val="32"/>
          <w:szCs w:val="32"/>
        </w:rPr>
        <w:t>受理单或不予受理通知书。</w:t>
      </w:r>
    </w:p>
    <w:p>
      <w:pPr>
        <w:autoSpaceDN w:val="0"/>
        <w:adjustRightInd w:val="0"/>
        <w:snapToGrid w:val="0"/>
        <w:spacing w:line="54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hint="eastAsia"/>
          <w:sz w:val="32"/>
          <w:szCs w:val="32"/>
        </w:rPr>
        <w:t xml:space="preserve"> </w:t>
      </w:r>
      <w:r>
        <w:rPr>
          <w:rFonts w:ascii="Times New Roman" w:eastAsia="方正仿宋_GBK" w:cs="Times New Roman" w:hAnsi="Times New Roman"/>
          <w:sz w:val="32"/>
          <w:szCs w:val="32"/>
        </w:rPr>
        <w:t>福中海关受理申请后进行审核，在规定时限提出审核意见。需海关总署审核的，福中海关在规定时限内将初审意见提交海关总署，海关总署在规定时限内提出审核意见。</w:t>
      </w:r>
    </w:p>
    <w:p>
      <w:pPr>
        <w:autoSpaceDN w:val="0"/>
        <w:adjustRightInd w:val="0"/>
        <w:snapToGrid w:val="0"/>
        <w:spacing w:line="540" w:lineRule="exact"/>
        <w:ind w:firstLineChars="200" w:firstLine="640"/>
        <w:rPr>
          <w:rFonts w:ascii="Times New Roman" w:eastAsia="方正黑体_GBK" w:cs="Times New Roman" w:hAnsi="Times New Roman"/>
          <w:sz w:val="32"/>
          <w:szCs w:val="32"/>
        </w:rPr>
      </w:pPr>
      <w:r>
        <w:rPr>
          <w:rFonts w:ascii="Times New Roman" w:eastAsia="方正仿宋_GBK" w:cs="Times New Roman" w:hAnsi="Times New Roman"/>
          <w:sz w:val="32"/>
          <w:szCs w:val="32"/>
        </w:rPr>
        <w:t>3.</w:t>
      </w:r>
      <w:r>
        <w:rPr>
          <w:rFonts w:eastAsia="方正仿宋_GBK" w:hint="eastAsia"/>
          <w:sz w:val="32"/>
          <w:szCs w:val="32"/>
        </w:rPr>
        <w:t xml:space="preserve"> 依法作出许可决定的，签发《中华人民共和国进境动植物检疫审批许可证》；或者依法作出不予许可决定。</w:t>
      </w:r>
    </w:p>
    <w:p>
      <w:pPr>
        <w:autoSpaceDN w:val="0"/>
        <w:adjustRightInd w:val="0"/>
        <w:snapToGrid w:val="0"/>
        <w:spacing w:line="54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（二）流程图。</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sz w:val="32"/>
          <w:szCs w:val="32"/>
        </w:rPr>
      </w:pPr>
      <w:r>
        <w:rPr>
          <w:rFonts w:eastAsia="方正黑体_GBK"/>
          <w:sz w:val="32"/>
          <w:szCs w:val="32"/>
        </w:rPr>
        <w:drawing>
          <wp:anchor distT="0" distB="0" distL="85722" distR="85722" simplePos="0" relativeHeight="16" behindDoc="0" locked="0" layoutInCell="1" hidden="0" allowOverlap="1">
            <wp:simplePos x="0" y="0"/>
            <wp:positionH relativeFrom="column">
              <wp:posOffset>0</wp:posOffset>
            </wp:positionH>
            <wp:positionV relativeFrom="paragraph">
              <wp:posOffset>0</wp:posOffset>
            </wp:positionV>
            <wp:extent cx="5514973" cy="4848225"/>
            <wp:effectExtent l="0" t="0" r="0" b="0"/>
            <wp:wrapSquare wrapText="bothSides"/>
            <wp:docPr id="1" name="图片 1" descr="1973790981527842824180"/>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5514973" cy="4848225"/>
                    </a:xfrm>
                    <a:prstGeom prst="rect"/>
                    <a:noFill/>
                    <a:ln w="9525" cmpd="sng" cap="flat">
                      <a:noFill/>
                      <a:prstDash val="solid"/>
                      <a:miter/>
                    </a:ln>
                  </pic:spPr>
                </pic:pic>
              </a:graphicData>
            </a:graphic>
          </wp:anchor>
        </w:drawing>
      </w:r>
      <w:r>
        <w:rPr>
          <w:rFonts w:ascii="Times New Roman" w:cs="Times New Roman" w:hAnsi="Times New Roman"/>
          <w:color w:val="333333"/>
        </w:rPr>
        <mc:AlternateContent>
          <mc:Choice Requires="wps">
            <w:drawing>
              <wp:anchor distT="0" distB="0" distL="85722" distR="85722" simplePos="0" relativeHeight="15" behindDoc="0" locked="0" layoutInCell="1" hidden="0" allowOverlap="1">
                <wp:simplePos x="0" y="0"/>
                <wp:positionH relativeFrom="column">
                  <wp:posOffset>1733523</wp:posOffset>
                </wp:positionH>
                <wp:positionV relativeFrom="paragraph">
                  <wp:posOffset>408235</wp:posOffset>
                </wp:positionV>
                <wp:extent cx="690245" cy="634"/>
                <wp:effectExtent l="0" t="0" r="0" b="0"/>
                <wp:wrapNone/>
                <wp:docPr id="4" name="直线 5"/>
                <wp:cNvGraphicFramePr>
                  <a:graphicFrameLocks noChangeAspect="0"/>
                </wp:cNvGraphicFramePr>
                <a:graphic>
                  <a:graphicData uri="http://schemas.microsoft.com/office/word/2010/wordprocessingShape">
                    <wps:wsp>
                      <wps:cNvSpPr/>
                      <wps:spPr>
                        <a:xfrm rot="0">
                          <a:off x="0" y="0"/>
                          <a:ext cx="690245" cy="634"/>
                        </a:xfrm>
                        <a:prstGeom prst="line"/>
                        <a:no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type="#_x0000_t20" id="直线 5 5" o:spid="_x0000_s5" from="136.49792pt,32.144512pt" to="190.84793pt,32.19451pt" filled="f" stroked="t" style="position:absolute;z-index:15;mso-position-horizontal:absolute;mso-position-vertical:absolute;mso-wrap-distance-left:6.74983pt;mso-wrap-distance-right:6.74983pt;">
                <v:stroke color="#000000" endarrow="block"/>
              </v:line>
            </w:pict>
          </mc:Fallback>
        </mc:AlternateContent>
      </w:r>
      <w:r>
        <w:rPr>
          <w:rFonts w:ascii="Times New Roman" w:cs="Times New Roman" w:hAnsi="Times New Roman"/>
          <w:color w:val="333333"/>
        </w:rPr>
        <mc:AlternateContent>
          <mc:Choice Requires="wps">
            <w:drawing>
              <wp:anchor distT="0" distB="0" distL="85722" distR="85722" simplePos="0" relativeHeight="14" behindDoc="0" locked="0" layoutInCell="1" hidden="0" allowOverlap="1">
                <wp:simplePos x="0" y="0"/>
                <wp:positionH relativeFrom="column">
                  <wp:posOffset>628640</wp:posOffset>
                </wp:positionH>
                <wp:positionV relativeFrom="paragraph">
                  <wp:posOffset>321273</wp:posOffset>
                </wp:positionV>
                <wp:extent cx="1104900" cy="260350"/>
                <wp:effectExtent l="0" t="0" r="0" b="0"/>
                <wp:wrapNone/>
                <wp:docPr id="6" name="矩形 8"/>
                <wp:cNvGraphicFramePr>
                  <a:graphicFrameLocks noChangeAspect="0"/>
                </wp:cNvGraphicFramePr>
                <a:graphic>
                  <a:graphicData uri="http://schemas.microsoft.com/office/word/2010/wordprocessingShape">
                    <wps:wsp>
                      <wps:cNvSpPr/>
                      <wps:spPr>
                        <a:xfrm rot="0">
                          <a:off x="0" y="0"/>
                          <a:ext cx="1104900" cy="260350"/>
                        </a:xfrm>
                        <a:prstGeom prst="rect"/>
                        <a:solidFill>
                          <a:srgbClr val="FFFFFF"/>
                        </a:solidFill>
                        <a:ln w="9525" cmpd="sng" cap="flat">
                          <a:solidFill>
                            <a:srgbClr val="000000"/>
                          </a:solidFill>
                          <a:prstDash val="solid"/>
                          <a:miter/>
                        </a:ln>
                      </wps:spPr>
                      <wps:txbx id="7">
                        <w:txbxContent>
                          <w:p>
                            <w:pPr>
                              <w:pStyle w:val="19"/>
                              <w:spacing w:line="240" w:lineRule="exact"/>
                              <w:ind w:firstLineChars="100" w:firstLine="210"/>
                              <w:rPr>
                                <w:sz w:val="21"/>
                              </w:rPr>
                            </w:pPr>
                            <w:r>
                              <w:rPr>
                                <w:rFonts w:hint="eastAsia"/>
                                <w:sz w:val="21"/>
                              </w:rPr>
                              <w:t>企业提交资料</w:t>
                            </w:r>
                          </w:p>
                        </w:txbxContent>
                      </wps:txbx>
                      <wps:bodyPr vert="horz" wrap="square" lIns="36072" tIns="45720" rIns="36072" bIns="45720" anchor="t" anchorCtr="0" upright="1">
                        <a:noAutofit/>
                      </wps:bodyPr>
                    </wps:wsp>
                  </a:graphicData>
                </a:graphic>
              </wp:anchor>
            </w:drawing>
          </mc:Choice>
          <mc:Fallback>
            <w:pict>
              <v:rect type="#_x0000_t1" id="矩形 8 8" o:spid="_x0000_s8" fillcolor="#FFFFFF" stroked="t" style="position:absolute;margin-left:49.499245pt;margin-top:25.297112pt;width:87.0pt;height:20.500002pt;z-index:14;mso-position-horizontal:absolute;mso-position-vertical:absolute;mso-wrap-distance-left:6.74983pt;mso-wrap-distance-right:6.74983pt;mso-wrap-style:square;">
                <v:stroke color="#000000"/>
                <v:textbox id="849" inset="1.002mm,1.27mm,1.002mm,1.27mm" o:insetmode="custom" style="layout-flow:horizontal;v-text-anchor:top;">
                  <w:txbxContent>
                    <w:p>
                      <w:pPr>
                        <w:pStyle w:val="19"/>
                        <w:spacing w:line="240" w:lineRule="exact"/>
                        <w:ind w:firstLineChars="100" w:firstLine="210"/>
                        <w:rPr>
                          <w:sz w:val="21"/>
                        </w:rPr>
                      </w:pPr>
                      <w:r>
                        <w:rPr>
                          <w:rFonts w:hint="eastAsia"/>
                          <w:sz w:val="21"/>
                        </w:rPr>
                        <w:t>企业提交资料</w:t>
                      </w:r>
                    </w:p>
                  </w:txbxContent>
                </v:textbox>
              </v:rect>
            </w:pict>
          </mc:Fallback>
        </mc:AlternateContent>
      </w:r>
      <w:r>
        <w:rPr>
          <w:rFonts w:ascii="Times New Roman" w:cs="Times New Roman" w:hAnsi="Times New Roman"/>
          <w:color w:val="333333"/>
        </w:rPr>
        <mc:AlternateContent>
          <mc:Choice Requires="wps">
            <w:drawing>
              <wp:anchor distT="0" distB="0" distL="85722" distR="85722" simplePos="0" relativeHeight="13" behindDoc="0" locked="0" layoutInCell="1" hidden="0" allowOverlap="1">
                <wp:simplePos x="0" y="0"/>
                <wp:positionH relativeFrom="column">
                  <wp:posOffset>2423789</wp:posOffset>
                </wp:positionH>
                <wp:positionV relativeFrom="paragraph">
                  <wp:posOffset>321273</wp:posOffset>
                </wp:positionV>
                <wp:extent cx="828674" cy="260350"/>
                <wp:effectExtent l="0" t="0" r="0" b="0"/>
                <wp:wrapNone/>
                <wp:docPr id="9" name="矩形 11"/>
                <wp:cNvGraphicFramePr>
                  <a:graphicFrameLocks noChangeAspect="0"/>
                </wp:cNvGraphicFramePr>
                <a:graphic>
                  <a:graphicData uri="http://schemas.microsoft.com/office/word/2010/wordprocessingShape">
                    <wps:wsp>
                      <wps:cNvSpPr/>
                      <wps:spPr>
                        <a:xfrm rot="0">
                          <a:off x="0" y="0"/>
                          <a:ext cx="828674" cy="260350"/>
                        </a:xfrm>
                        <a:prstGeom prst="rect"/>
                        <a:solidFill>
                          <a:srgbClr val="FFFFFF"/>
                        </a:solidFill>
                        <a:ln w="9525" cmpd="sng" cap="flat">
                          <a:solidFill>
                            <a:srgbClr val="000000"/>
                          </a:solidFill>
                          <a:prstDash val="solid"/>
                          <a:miter/>
                        </a:ln>
                      </wps:spPr>
                      <wps:txbx id="10">
                        <w:txbxContent>
                          <w:p>
                            <w:pPr>
                              <w:pStyle w:val="18"/>
                              <w:spacing w:line="240" w:lineRule="exact"/>
                              <w:jc w:val="center"/>
                              <w:rPr>
                                <w:sz w:val="21"/>
                              </w:rPr>
                            </w:pPr>
                            <w:r>
                              <w:rPr>
                                <w:rFonts w:hint="eastAsia"/>
                                <w:sz w:val="21"/>
                              </w:rPr>
                              <w:t>资料审核</w:t>
                            </w:r>
                          </w:p>
                        </w:txbxContent>
                      </wps:txbx>
                      <wps:bodyPr vert="horz" wrap="square" lIns="36072" tIns="45720" rIns="36072" bIns="45720" anchor="t" anchorCtr="0" upright="1">
                        <a:noAutofit/>
                      </wps:bodyPr>
                    </wps:wsp>
                  </a:graphicData>
                </a:graphic>
              </wp:anchor>
            </w:drawing>
          </mc:Choice>
          <mc:Fallback>
            <w:pict>
              <v:rect type="#_x0000_t1" id="矩形 11 11" o:spid="_x0000_s11" fillcolor="#FFFFFF" stroked="t" style="position:absolute;margin-left:190.8496pt;margin-top:25.297112pt;width:65.24999pt;height:20.500002pt;z-index:13;mso-position-horizontal:absolute;mso-position-vertical:absolute;mso-wrap-distance-left:6.74983pt;mso-wrap-distance-right:6.74983pt;mso-wrap-style:square;">
                <v:stroke color="#000000"/>
                <v:textbox id="850" inset="1.002mm,1.27mm,1.002mm,1.27mm" o:insetmode="custom" style="layout-flow:horizontal;v-text-anchor:top;">
                  <w:txbxContent>
                    <w:p>
                      <w:pPr>
                        <w:pStyle w:val="18"/>
                        <w:spacing w:line="240" w:lineRule="exact"/>
                        <w:jc w:val="center"/>
                        <w:rPr>
                          <w:sz w:val="21"/>
                        </w:rPr>
                      </w:pPr>
                      <w:r>
                        <w:rPr>
                          <w:rFonts w:hint="eastAsia"/>
                          <w:sz w:val="21"/>
                        </w:rPr>
                        <w:t>资料审核</w:t>
                      </w:r>
                    </w:p>
                  </w:txbxContent>
                </v:textbox>
              </v:rect>
            </w:pict>
          </mc:Fallback>
        </mc:AlternateContent>
      </w:r>
      <w:r>
        <w:rPr>
          <w:rFonts w:ascii="Times New Roman" w:eastAsia="方正黑体_GBK" w:cs="Times New Roman" w:hAnsi="Times New Roman"/>
          <w:color w:val="000000"/>
          <w:sz w:val="32"/>
          <w:szCs w:val="32"/>
        </w:rPr>
        <w:t>十四、办理形式：</w:t>
      </w:r>
      <w:r>
        <w:rPr>
          <w:rFonts w:ascii="Times New Roman" w:eastAsia="方正仿宋_GBK" w:cs="Times New Roman" w:hAnsi="Times New Roman"/>
          <w:color w:val="333333"/>
          <w:sz w:val="32"/>
          <w:szCs w:val="32"/>
        </w:rPr>
        <w:t>网上或窗口办理</w:t>
      </w:r>
      <w:r>
        <w:rPr>
          <w:rFonts w:ascii="Times New Roman" w:eastAsia="方正仿宋_GBK" w:cs="Times New Roman" w:hAnsi="Times New Roman" w:hint="eastAsia"/>
          <w:color w:val="333333"/>
          <w:sz w:val="32"/>
          <w:szCs w:val="32"/>
        </w:rPr>
        <w:t>，</w:t>
      </w:r>
      <w:r>
        <w:rPr>
          <w:rFonts w:ascii="Times New Roman" w:eastAsia="方正仿宋_GBK" w:cs="Times New Roman" w:hAnsi="Times New Roman" w:hint="eastAsia"/>
          <w:sz w:val="32"/>
          <w:szCs w:val="32"/>
        </w:rPr>
        <w:t>网上办理请提交电子材料，窗口办理请递交纸质材料。</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bookmarkStart w:id="0" w:name="_Hlk24128987"/>
      <w:r>
        <w:rPr>
          <w:rFonts w:ascii="Times New Roman" w:eastAsia="方正黑体_GBK" w:cs="Times New Roman" w:hAnsi="Times New Roman"/>
          <w:color w:val="000000"/>
          <w:sz w:val="32"/>
          <w:szCs w:val="32"/>
        </w:rPr>
        <w:t>十五、到办理现场次数：</w:t>
      </w:r>
      <w:r>
        <w:rPr>
          <w:rFonts w:ascii="Times New Roman" w:eastAsia="方正仿宋_GBK" w:cs="Times New Roman" w:hAnsi="Times New Roman"/>
          <w:color w:val="333333"/>
          <w:sz w:val="32"/>
          <w:szCs w:val="32"/>
        </w:rPr>
        <w:t>网上办理</w:t>
      </w:r>
      <w:r>
        <w:rPr>
          <w:rFonts w:ascii="Times New Roman" w:eastAsia="方正仿宋_GBK" w:cs="Times New Roman" w:hAnsi="Times New Roman" w:hint="eastAsia"/>
          <w:color w:val="333333"/>
          <w:sz w:val="32"/>
          <w:szCs w:val="32"/>
        </w:rPr>
        <w:t>无需到现场。</w:t>
      </w:r>
      <w:r>
        <w:rPr>
          <w:rFonts w:ascii="Times New Roman" w:eastAsia="方正仿宋_GBK" w:cs="Times New Roman" w:hAnsi="Times New Roman"/>
          <w:color w:val="333333"/>
          <w:sz w:val="32"/>
          <w:szCs w:val="32"/>
        </w:rPr>
        <w:t>窗口办理</w:t>
      </w:r>
      <w:r>
        <w:rPr>
          <w:rFonts w:ascii="Times New Roman" w:eastAsia="方正仿宋_GBK" w:cs="Times New Roman" w:hAnsi="Times New Roman" w:hint="eastAsia"/>
          <w:color w:val="333333"/>
          <w:sz w:val="32"/>
          <w:szCs w:val="32"/>
        </w:rPr>
        <w:t>的需要到现场</w:t>
      </w:r>
      <w:r>
        <w:rPr>
          <w:rFonts w:ascii="Times New Roman" w:eastAsia="方正仿宋_GBK" w:cs="Times New Roman" w:hAnsi="Times New Roman"/>
          <w:color w:val="333333"/>
          <w:sz w:val="32"/>
          <w:szCs w:val="32"/>
        </w:rPr>
        <w:t>1次</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十六、审查标准：</w:t>
      </w:r>
      <w:r>
        <w:rPr>
          <w:rFonts w:ascii="Times New Roman" w:eastAsia="方正仿宋_GBK" w:cs="Times New Roman" w:hAnsi="Times New Roman"/>
          <w:color w:val="333333"/>
          <w:sz w:val="32"/>
          <w:szCs w:val="32"/>
        </w:rPr>
        <w:t>申请材料填写准确、完整、真实、有效</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bookmarkEnd w:id="0"/>
      <w:r>
        <w:rPr>
          <w:rFonts w:ascii="Times New Roman" w:eastAsia="方正黑体_GBK" w:cs="Times New Roman" w:hAnsi="Times New Roman"/>
          <w:color w:val="000000"/>
          <w:sz w:val="32"/>
          <w:szCs w:val="32"/>
        </w:rPr>
        <w:t>十七、通办范围：</w:t>
      </w:r>
      <w:r>
        <w:rPr>
          <w:rFonts w:ascii="Times New Roman" w:eastAsia="方正仿宋_GBK" w:cs="Times New Roman" w:hAnsi="Times New Roman" w:hint="eastAsia"/>
          <w:color w:val="333333"/>
          <w:sz w:val="32"/>
          <w:szCs w:val="32"/>
        </w:rPr>
        <w:t>深圳关区，深圳市及惠州市企业均在福中海关办理。</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十八、预约办理：</w:t>
      </w:r>
      <w:r>
        <w:rPr>
          <w:rFonts w:ascii="Times New Roman" w:eastAsia="方正仿宋_GBK" w:cs="Times New Roman" w:hAnsi="Times New Roman"/>
          <w:color w:val="333333"/>
          <w:sz w:val="32"/>
          <w:szCs w:val="32"/>
        </w:rPr>
        <w:t>否</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十九、网上支付：</w:t>
      </w:r>
      <w:r>
        <w:rPr>
          <w:rFonts w:ascii="Times New Roman" w:eastAsia="方正仿宋_GBK" w:cs="Times New Roman" w:hAnsi="Times New Roman"/>
          <w:color w:val="333333"/>
          <w:sz w:val="32"/>
          <w:szCs w:val="32"/>
        </w:rPr>
        <w:t>否</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黑体_GBK" w:cs="Times New Roman" w:hAnsi="Times New Roman"/>
          <w:color w:val="000000"/>
          <w:sz w:val="32"/>
          <w:szCs w:val="32"/>
        </w:rPr>
        <w:t>二十、物流快递：</w:t>
      </w:r>
      <w:r>
        <w:rPr>
          <w:rFonts w:ascii="Times New Roman" w:eastAsia="方正仿宋_GBK" w:cs="Times New Roman" w:hAnsi="Times New Roman"/>
          <w:color w:val="333333"/>
          <w:sz w:val="32"/>
          <w:szCs w:val="32"/>
        </w:rPr>
        <w:t>否</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二十一、办理地点：</w:t>
      </w:r>
    </w:p>
    <w:p>
      <w:pPr>
        <w:adjustRightInd w:val="0"/>
        <w:snapToGrid w:val="0"/>
        <w:spacing w:line="560" w:lineRule="exact"/>
        <w:ind w:firstLineChars="200" w:firstLine="640"/>
        <w:rPr>
          <w:rFonts w:ascii="Times New Roman" w:eastAsia="方正仿宋_GBK" w:cs="Times New Roman" w:hAnsi="Times New Roman"/>
          <w:b/>
          <w:bCs/>
          <w:color w:val="333333"/>
          <w:kern w:val="0"/>
          <w:sz w:val="32"/>
          <w:szCs w:val="32"/>
        </w:rPr>
      </w:pPr>
      <w:r>
        <w:rPr>
          <w:rFonts w:ascii="Times New Roman" w:eastAsia="方正仿宋_GBK" w:cs="Times New Roman" w:hAnsi="Times New Roman" w:hint="eastAsia"/>
          <w:color w:val="333333"/>
          <w:kern w:val="0"/>
          <w:sz w:val="32"/>
          <w:szCs w:val="32"/>
        </w:rPr>
        <w:t>网上办理：登录</w:t>
      </w:r>
      <w:r>
        <w:rPr>
          <w:rFonts w:ascii="方正仿宋_GBK" w:eastAsia="方正仿宋_GBK" w:hint="eastAsia"/>
          <w:bCs/>
          <w:sz w:val="32"/>
          <w:szCs w:val="32"/>
        </w:rPr>
        <w:t>“</w:t>
      </w:r>
      <w:r>
        <w:rPr>
          <w:rFonts w:ascii="方正仿宋_GBK" w:eastAsia="方正仿宋_GBK"/>
          <w:bCs/>
          <w:sz w:val="32"/>
          <w:szCs w:val="32"/>
        </w:rPr>
        <w:t>海关政务服务平台</w:t>
      </w:r>
      <w:r>
        <w:rPr>
          <w:rFonts w:ascii="方正仿宋_GBK" w:eastAsia="方正仿宋_GBK" w:hint="eastAsia"/>
          <w:bCs/>
          <w:sz w:val="32"/>
          <w:szCs w:val="32"/>
        </w:rPr>
        <w:t>”</w:t>
      </w:r>
      <w:r>
        <w:rPr>
          <w:rFonts w:eastAsia="方正仿宋_GBK" w:hint="eastAsia"/>
          <w:sz w:val="32"/>
          <w:szCs w:val="32"/>
        </w:rPr>
        <w:t>（网址：</w:t>
      </w:r>
      <w:r>
        <w:rPr>
          <w:rFonts w:eastAsia="方正仿宋_GBK"/>
          <w:sz w:val="32"/>
          <w:szCs w:val="32"/>
        </w:rPr>
        <w:t>http://</w:t>
      </w:r>
      <w:r>
        <w:rPr>
          <w:rFonts w:eastAsia="方正仿宋_GBK" w:hint="eastAsia"/>
          <w:sz w:val="32"/>
          <w:szCs w:val="32"/>
        </w:rPr>
        <w:t>online.customs.gov.cn），</w:t>
      </w:r>
      <w:bookmarkStart w:id="1" w:name="_GoBack"/>
      <w:bookmarkEnd w:id="1"/>
      <w:r>
        <w:rPr>
          <w:rFonts w:eastAsia="方正仿宋_GBK" w:hint="eastAsia"/>
          <w:bCs/>
          <w:sz w:val="32"/>
          <w:szCs w:val="32"/>
        </w:rPr>
        <w:t>或</w:t>
      </w:r>
      <w:r>
        <w:rPr>
          <w:rFonts w:eastAsia="方正仿宋_GBK" w:hint="eastAsia"/>
          <w:sz w:val="32"/>
          <w:szCs w:val="32"/>
        </w:rPr>
        <w:t>海关行政审批网上办理平台（网址：</w:t>
      </w:r>
      <w:r>
        <w:rPr>
          <w:rFonts w:eastAsia="方正仿宋_GBK"/>
          <w:sz w:val="32"/>
          <w:szCs w:val="32"/>
        </w:rPr>
        <w:t>http://pre.chinaport.gov.cn/car</w:t>
      </w:r>
      <w:r>
        <w:rPr>
          <w:rFonts w:eastAsia="方正仿宋_GBK" w:hint="eastAsia"/>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hint="eastAsia"/>
          <w:color w:val="333333"/>
          <w:sz w:val="32"/>
          <w:szCs w:val="32"/>
        </w:rPr>
        <w:t>现场办理：</w:t>
      </w:r>
      <w:r>
        <w:rPr>
          <w:rFonts w:ascii="Times New Roman" w:eastAsia="方正仿宋_GBK" w:cs="Times New Roman" w:hAnsi="Times New Roman"/>
          <w:color w:val="333333"/>
          <w:sz w:val="32"/>
          <w:szCs w:val="32"/>
        </w:rPr>
        <w:t>深圳市福田区深南大道2006号科技信息楼</w:t>
      </w:r>
      <w:r>
        <w:rPr>
          <w:rFonts w:ascii="Times New Roman" w:eastAsia="方正仿宋_GBK" w:cs="Times New Roman" w:hAnsi="Times New Roman" w:hint="eastAsia"/>
          <w:color w:val="333333"/>
          <w:sz w:val="32"/>
          <w:szCs w:val="32"/>
        </w:rPr>
        <w:t>附</w:t>
      </w:r>
      <w:r>
        <w:rPr>
          <w:rFonts w:ascii="Times New Roman" w:eastAsia="方正仿宋_GBK" w:cs="Times New Roman" w:hAnsi="Times New Roman"/>
          <w:color w:val="333333"/>
          <w:sz w:val="32"/>
          <w:szCs w:val="32"/>
        </w:rPr>
        <w:t>楼一楼办事大厅55号窗口</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二十二、办理时间：</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（一）网上办理：24小时</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仿宋_GBK" w:cs="Times New Roman" w:hAnsi="Times New Roman"/>
          <w:color w:val="333333"/>
          <w:sz w:val="32"/>
          <w:szCs w:val="32"/>
        </w:rPr>
      </w:pPr>
      <w:r>
        <w:rPr>
          <w:rFonts w:ascii="Times New Roman" w:eastAsia="方正仿宋_GBK" w:cs="Times New Roman" w:hAnsi="Times New Roman"/>
          <w:color w:val="333333"/>
          <w:sz w:val="32"/>
          <w:szCs w:val="32"/>
        </w:rPr>
        <w:t>（二）窗口办理：周一至周五（工作日）9:00—12:00；13:30—17:30</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二十三、咨询电话：</w:t>
      </w:r>
    </w:p>
    <w:p>
      <w:pPr>
        <w:adjustRightInd w:val="0"/>
        <w:snapToGrid w:val="0"/>
        <w:spacing w:line="560" w:lineRule="exact"/>
        <w:ind w:firstLineChars="200" w:firstLine="640"/>
        <w:rPr>
          <w:rFonts w:ascii="Times New Roman" w:eastAsia="方正黑体_GBK" w:cs="Times New Roman" w:hAnsi="Times New Roman"/>
          <w:sz w:val="32"/>
          <w:szCs w:val="32"/>
        </w:rPr>
      </w:pPr>
      <w:r>
        <w:rPr>
          <w:rFonts w:ascii="Times New Roman" w:eastAsia="方正仿宋_GBK" w:cs="Times New Roman" w:hAnsi="Times New Roman"/>
          <w:color w:val="333333"/>
          <w:sz w:val="32"/>
          <w:szCs w:val="32"/>
        </w:rPr>
        <w:t>0755—8439</w:t>
      </w:r>
      <w:r>
        <w:rPr>
          <w:rFonts w:ascii="Times New Roman" w:eastAsia="方正仿宋_GBK" w:cs="Times New Roman" w:hAnsi="Times New Roman" w:hint="eastAsia"/>
          <w:color w:val="333333"/>
          <w:sz w:val="32"/>
          <w:szCs w:val="32"/>
        </w:rPr>
        <w:t>8439</w:t>
      </w:r>
      <w:r>
        <w:rPr>
          <w:rFonts w:ascii="Times New Roman" w:eastAsia="方正仿宋_GBK" w:cs="Times New Roman" w:hAnsi="Times New Roman"/>
          <w:color w:val="333333"/>
          <w:sz w:val="32"/>
          <w:szCs w:val="32"/>
        </w:rPr>
        <w:t xml:space="preserve"> </w:t>
      </w:r>
      <w:r>
        <w:rPr>
          <w:rFonts w:eastAsia="方正仿宋_GBK" w:hint="eastAsia"/>
          <w:color w:val="333333"/>
          <w:sz w:val="32"/>
          <w:szCs w:val="32"/>
        </w:rPr>
        <w:t>转</w:t>
      </w:r>
      <w:r>
        <w:rPr>
          <w:rFonts w:ascii="Times New Roman" w:eastAsia="方正仿宋_GBK" w:cs="Times New Roman" w:hAnsi="Times New Roman"/>
          <w:color w:val="333333"/>
          <w:sz w:val="32"/>
          <w:szCs w:val="32"/>
        </w:rPr>
        <w:t>3（福中海关）</w:t>
      </w:r>
      <w:r>
        <w:rPr>
          <w:rFonts w:ascii="Times New Roman" w:eastAsia="方正仿宋_GBK" w:cs="Times New Roman" w:hAnsi="Times New Roman" w:hint="eastAsia"/>
          <w:color w:val="333333"/>
          <w:sz w:val="32"/>
          <w:szCs w:val="32"/>
        </w:rPr>
        <w:t>。</w:t>
      </w:r>
    </w:p>
    <w:p>
      <w:pPr>
        <w:pStyle w:val="17"/>
        <w:shd w:val="clear" w:color="auto" w:fill="FFFFFF"/>
        <w:spacing w:before="0" w:beforeAutospacing="0" w:after="0" w:afterAutospacing="0" w:line="560" w:lineRule="exact"/>
        <w:ind w:firstLineChars="200" w:firstLine="640"/>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二十四、监督电话：</w:t>
      </w:r>
    </w:p>
    <w:p>
      <w:pPr>
        <w:pStyle w:val="17"/>
        <w:shd w:val="clear" w:color="auto" w:fill="FFFFFF"/>
        <w:spacing w:before="0" w:beforeAutospacing="0" w:after="0" w:afterAutospacing="0" w:line="560" w:lineRule="exact"/>
        <w:ind w:firstLineChars="200" w:firstLine="640"/>
      </w:pPr>
      <w:r>
        <w:rPr>
          <w:rFonts w:ascii="Times New Roman" w:eastAsia="方正仿宋_GBK" w:cs="Times New Roman" w:hAnsi="Times New Roman"/>
          <w:color w:val="333333"/>
          <w:sz w:val="32"/>
          <w:szCs w:val="32"/>
        </w:rPr>
        <w:t>12360海关服务热线</w:t>
      </w:r>
      <w:r>
        <w:rPr>
          <w:rFonts w:ascii="Times New Roman" w:eastAsia="方正仿宋_GBK" w:cs="Times New Roman" w:hAnsi="Times New Roman" w:hint="eastAsia"/>
          <w:color w:val="333333"/>
          <w:sz w:val="32"/>
          <w:szCs w:val="32"/>
        </w:rPr>
        <w:t>。</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jc w:val="center"/>
    </w:pPr>
    <w:r>
      <w:fldChar w:fldCharType="begin"/>
    </w:r>
    <w:r>
      <w:instrText>PAGE   \* MERGEFORMAT</w:instrText>
    </w:r>
    <w:r>
      <w:fldChar w:fldCharType="separate"/>
    </w:r>
    <w:r>
      <w:rPr>
        <w:lang w:val="zh-CN"/>
      </w:rPr>
      <w:t>8</w:t>
    </w:r>
    <w:r>
      <w:rPr>
        <w:lang w:val="zh-CN"/>
      </w:rPr>
      <w:fldChar w:fldCharType="end"/>
    </w:r>
  </w:p>
  <w:p>
    <w:pPr>
      <w:pStyle w:val="15"/>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customStyle="1" w:styleId="16">
    <w:name w:val="样式 10 磅"/>
    <w:next w:val="34"/>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styleId="17">
    <w:name w:val="Normal (Web)"/>
    <w:basedOn w:val="0"/>
    <w:pPr>
      <w:widowControl/>
      <w:spacing w:before="100" w:beforeAutospacing="1" w:after="100" w:afterAutospacing="1"/>
      <w:jc w:val="left"/>
    </w:pPr>
    <w:rPr>
      <w:rFonts w:ascii="宋体" w:cs="宋体"/>
      <w:kern w:val="0"/>
      <w:sz w:val="24"/>
      <w:szCs w:val="24"/>
    </w:rPr>
  </w:style>
  <w:style w:type="paragraph" w:styleId="18">
    <w:name w:val="Body Text"/>
    <w:basedOn w:val="0"/>
    <w:pPr>
      <w:spacing w:line="160" w:lineRule="exact"/>
    </w:pPr>
    <w:rPr>
      <w:rFonts w:ascii="Times New Roman" w:cs="Times New Roman" w:hAnsi="Times New Roman"/>
      <w:sz w:val="15"/>
      <w:szCs w:val="24"/>
    </w:rPr>
  </w:style>
  <w:style w:type="paragraph" w:styleId="19">
    <w:name w:val="Body Text 2"/>
    <w:basedOn w:val="0"/>
    <w:pPr>
      <w:spacing w:line="160" w:lineRule="exact"/>
    </w:pPr>
    <w:rPr>
      <w:rFonts w:ascii="Times New Roman" w:cs="Times New Roman" w:hAnsi="Times New Roman"/>
      <w:sz w:val="18"/>
      <w:szCs w:val="24"/>
    </w:rPr>
  </w:style>
  <w:style w:type="paragraph" w:customStyle="1" w:styleId="20">
    <w:name w:val="样式 1 10 磅"/>
    <w:pPr>
      <w:widowControl w:val="0"/>
      <w:jc w:val="both"/>
    </w:pPr>
    <w:rPr>
      <w:rFonts w:ascii="Calibri" w:eastAsia="宋体" w:cs="Arial" w:hAnsi="Calibri"/>
      <w:kern w:val="2"/>
      <w:sz w:val="21"/>
      <w:szCs w:val="22"/>
      <w:lang w:val="en-US" w:eastAsia="zh-CN" w:bidi="ar-SA"/>
    </w:rPr>
  </w:style>
  <w:style w:type="paragraph" w:customStyle="1" w:styleId="21">
    <w:name w:val="样式 2 10 磅"/>
    <w:pPr>
      <w:widowControl w:val="0"/>
      <w:jc w:val="both"/>
    </w:pPr>
    <w:rPr>
      <w:rFonts w:ascii="Calibri" w:eastAsia="宋体" w:cs="Arial" w:hAnsi="Calibri"/>
      <w:kern w:val="2"/>
      <w:sz w:val="21"/>
      <w:szCs w:val="22"/>
      <w:lang w:val="en-US" w:eastAsia="zh-CN" w:bidi="ar-SA"/>
    </w:rPr>
  </w:style>
  <w:style w:type="paragraph" w:customStyle="1" w:styleId="22">
    <w:name w:val="样式 3 10 磅"/>
    <w:pPr>
      <w:widowControl w:val="0"/>
      <w:jc w:val="both"/>
    </w:pPr>
    <w:rPr>
      <w:rFonts w:ascii="Calibri" w:eastAsia="宋体" w:cs="Arial" w:hAnsi="Calibri"/>
      <w:kern w:val="2"/>
      <w:sz w:val="21"/>
      <w:szCs w:val="22"/>
      <w:lang w:val="en-US" w:eastAsia="zh-CN" w:bidi="ar-SA"/>
    </w:rPr>
  </w:style>
  <w:style w:type="paragraph" w:customStyle="1" w:styleId="23">
    <w:name w:val="样式 4 10 磅"/>
    <w:pPr>
      <w:widowControl w:val="0"/>
      <w:jc w:val="both"/>
    </w:pPr>
    <w:rPr>
      <w:rFonts w:ascii="Calibri" w:eastAsia="宋体" w:cs="Arial" w:hAnsi="Calibri"/>
      <w:kern w:val="2"/>
      <w:sz w:val="21"/>
      <w:szCs w:val="22"/>
      <w:lang w:val="en-US" w:eastAsia="zh-CN" w:bidi="ar-SA"/>
    </w:rPr>
  </w:style>
  <w:style w:type="paragraph" w:customStyle="1" w:styleId="24">
    <w:name w:val="样式 6 10 磅"/>
    <w:pPr>
      <w:widowControl w:val="0"/>
      <w:jc w:val="both"/>
    </w:pPr>
    <w:rPr>
      <w:rFonts w:ascii="Calibri" w:eastAsia="宋体" w:cs="Arial" w:hAnsi="Calibri"/>
      <w:kern w:val="2"/>
      <w:sz w:val="21"/>
      <w:szCs w:val="22"/>
      <w:lang w:val="en-US" w:eastAsia="zh-CN" w:bidi="ar-SA"/>
    </w:rPr>
  </w:style>
  <w:style w:type="paragraph" w:customStyle="1" w:styleId="25">
    <w:name w:val="样式 10 10 磅"/>
    <w:pPr>
      <w:widowControl w:val="0"/>
      <w:jc w:val="both"/>
    </w:pPr>
    <w:rPr>
      <w:rFonts w:ascii="Calibri" w:eastAsia="宋体" w:cs="Arial" w:hAnsi="Calibri"/>
      <w:kern w:val="2"/>
      <w:sz w:val="21"/>
      <w:szCs w:val="22"/>
      <w:lang w:val="en-US" w:eastAsia="zh-CN" w:bidi="ar-SA"/>
    </w:rPr>
  </w:style>
  <w:style w:type="paragraph" w:customStyle="1" w:styleId="26">
    <w:name w:val="样式 11 10 磅"/>
    <w:pPr>
      <w:widowControl w:val="0"/>
      <w:jc w:val="both"/>
    </w:pPr>
    <w:rPr>
      <w:rFonts w:ascii="Calibri" w:eastAsia="宋体" w:cs="Arial" w:hAnsi="Calibri"/>
      <w:kern w:val="2"/>
      <w:sz w:val="21"/>
      <w:szCs w:val="22"/>
      <w:lang w:val="en-US" w:eastAsia="zh-CN" w:bidi="ar-SA"/>
    </w:rPr>
  </w:style>
  <w:style w:type="paragraph" w:customStyle="1" w:styleId="27">
    <w:name w:val="样式 12 10 磅"/>
    <w:pPr>
      <w:widowControl w:val="0"/>
      <w:jc w:val="both"/>
    </w:pPr>
    <w:rPr>
      <w:rFonts w:ascii="Calibri" w:eastAsia="宋体" w:cs="Arial" w:hAnsi="Calibri"/>
      <w:kern w:val="2"/>
      <w:sz w:val="21"/>
      <w:szCs w:val="22"/>
      <w:lang w:val="en-US" w:eastAsia="zh-CN" w:bidi="ar-SA"/>
    </w:rPr>
  </w:style>
  <w:style w:type="paragraph" w:customStyle="1" w:styleId="28">
    <w:name w:val="样式 13 10 磅"/>
    <w:pPr>
      <w:widowControl w:val="0"/>
      <w:jc w:val="both"/>
    </w:pPr>
    <w:rPr>
      <w:rFonts w:ascii="Calibri" w:eastAsia="宋体" w:cs="Arial" w:hAnsi="Calibri"/>
      <w:kern w:val="2"/>
      <w:sz w:val="21"/>
      <w:szCs w:val="22"/>
      <w:lang w:val="en-US" w:eastAsia="zh-CN" w:bidi="ar-SA"/>
    </w:rPr>
  </w:style>
  <w:style w:type="paragraph" w:customStyle="1" w:styleId="29">
    <w:name w:val="样式 14 10 磅"/>
    <w:pPr>
      <w:widowControl w:val="0"/>
      <w:jc w:val="both"/>
    </w:pPr>
    <w:rPr>
      <w:rFonts w:ascii="Calibri" w:eastAsia="宋体" w:cs="Arial" w:hAnsi="Calibri"/>
      <w:kern w:val="2"/>
      <w:sz w:val="21"/>
      <w:szCs w:val="22"/>
      <w:lang w:val="en-US" w:eastAsia="zh-CN" w:bidi="ar-SA"/>
    </w:rPr>
  </w:style>
  <w:style w:type="paragraph" w:customStyle="1" w:styleId="30">
    <w:name w:val="样式 15 10 磅"/>
    <w:pPr>
      <w:widowControl w:val="0"/>
      <w:jc w:val="both"/>
    </w:pPr>
    <w:rPr>
      <w:rFonts w:ascii="Calibri" w:eastAsia="宋体" w:cs="Arial" w:hAnsi="Calibri"/>
      <w:kern w:val="2"/>
      <w:sz w:val="21"/>
      <w:szCs w:val="22"/>
      <w:lang w:val="en-US" w:eastAsia="zh-CN" w:bidi="ar-SA"/>
    </w:rPr>
  </w:style>
  <w:style w:type="paragraph" w:customStyle="1" w:styleId="31">
    <w:name w:val="样式 17 10 磅"/>
    <w:pPr>
      <w:widowControl w:val="0"/>
      <w:jc w:val="both"/>
    </w:pPr>
    <w:rPr>
      <w:rFonts w:ascii="Calibri" w:eastAsia="宋体" w:cs="Arial" w:hAnsi="Calibri"/>
      <w:kern w:val="2"/>
      <w:sz w:val="21"/>
      <w:szCs w:val="22"/>
      <w:lang w:val="en-US" w:eastAsia="zh-CN" w:bidi="ar-SA"/>
    </w:rPr>
  </w:style>
  <w:style w:type="paragraph" w:customStyle="1" w:styleId="32">
    <w:name w:val="样式 18 10 磅"/>
    <w:pPr>
      <w:widowControl w:val="0"/>
      <w:jc w:val="both"/>
    </w:pPr>
    <w:rPr>
      <w:rFonts w:ascii="Calibri" w:eastAsia="宋体" w:cs="Arial" w:hAnsi="Calibri"/>
      <w:kern w:val="2"/>
      <w:sz w:val="21"/>
      <w:szCs w:val="22"/>
      <w:lang w:val="en-US" w:eastAsia="zh-CN" w:bidi="ar-SA"/>
    </w:rPr>
  </w:style>
  <w:style w:type="paragraph" w:customStyle="1" w:styleId="33">
    <w:name w:val="样式 19 10 磅"/>
    <w:pPr>
      <w:widowControl w:val="0"/>
      <w:jc w:val="both"/>
    </w:pPr>
    <w:rPr>
      <w:rFonts w:ascii="Calibri" w:eastAsia="宋体" w:cs="Arial" w:hAnsi="Calibri"/>
      <w:kern w:val="2"/>
      <w:sz w:val="21"/>
      <w:szCs w:val="22"/>
      <w:lang w:val="en-US" w:eastAsia="zh-CN" w:bidi="ar-SA"/>
    </w:rPr>
  </w:style>
  <w:style w:type="paragraph" w:styleId="34">
    <w:name w:val="index 9"/>
    <w:basedOn w:val="0"/>
    <w:autoRedefine/>
    <w:next w:val="0"/>
    <w:pPr>
      <w:ind w:leftChars="1600" w:left="1600"/>
    </w:pPr>
  </w:style>
  <w:style w:type="paragraph" w:styleId="35">
    <w:name w:val="header"/>
    <w:basedOn w:val="0"/>
    <w:pPr>
      <w:pBdr>
        <w:bottom w:val="single" w:sz="6" w:space="1" w:color="auto"/>
      </w:pBdr>
      <w:tabs>
        <w:tab w:val="center" w:pos="4153"/>
        <w:tab w:val="right" w:pos="8306"/>
      </w:tabs>
      <w:snapToGrid w:val="0"/>
      <w:jc w:val="center"/>
    </w:pPr>
    <w:rPr>
      <w:sz w:val="18"/>
      <w:szCs w:val="18"/>
    </w:rPr>
  </w:style>
  <w:style w:type="paragraph" w:customStyle="1" w:styleId="36">
    <w:name w:val="修订1"/>
    <w:rPr>
      <w:rFonts w:ascii="Calibri" w:eastAsia="宋体" w:cs="Arial" w:hAnsi="Calibri"/>
      <w:kern w:val="2"/>
      <w:sz w:val="21"/>
      <w:szCs w:val="22"/>
      <w:lang w:val="en-US" w:eastAsia="zh-CN" w:bidi="ar-SA"/>
    </w:rPr>
  </w:style>
  <w:style w:type="character" w:styleId="37">
    <w:name w:val="Hyperlink"/>
    <w:basedOn w:val="10"/>
    <w:rPr>
      <w:color w:val="0000FF"/>
      <w:u w:val="single"/>
    </w:rPr>
  </w:style>
  <w:style w:type="character" w:customStyle="1" w:styleId="38">
    <w:name w:val="Unresolved Mention"/>
    <w:basedOn w:val="10"/>
    <w:rPr>
      <w:color w:val="605E5C"/>
      <w:shd w:val="clear" w:color="auto" w:fill="E1DFDD"/>
    </w:rPr>
  </w:style>
  <w:style w:type="paragraph" w:styleId="39">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Application>
  <Pages>8</Pages>
  <Words>2840</Words>
  <Characters>3020</Characters>
  <Lines>279</Lines>
  <Paragraphs>153</Paragraphs>
  <CharactersWithSpaces>3031</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高扬</cp:lastModifiedBy>
  <cp:revision>5</cp:revision>
  <cp:lastPrinted>2023-06-09T07:28:00Z</cp:lastPrinted>
  <dcterms:created xsi:type="dcterms:W3CDTF">2023-06-09T08:01:00Z</dcterms:created>
  <dcterms:modified xsi:type="dcterms:W3CDTF">2025-12-05T10:18:56Z</dcterms:modified>
</cp:coreProperties>
</file>