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200" w:beforeAutospacing="0" w:after="200" w:afterAutospacing="0" w:line="540" w:lineRule="atLeast"/>
        <w:ind w:left="0" w:right="0"/>
        <w:jc w:val="center"/>
        <w:textAlignment w:val="baseline"/>
        <w:rPr>
          <w:b/>
          <w:bCs/>
          <w:color w:val="383940"/>
          <w:sz w:val="39"/>
          <w:szCs w:val="39"/>
        </w:rPr>
      </w:pPr>
      <w:bookmarkStart w:id="0" w:name="_GoBack"/>
      <w:bookmarkEnd w:id="0"/>
      <w:r>
        <w:rPr>
          <w:b/>
          <w:bCs/>
          <w:i w:val="0"/>
          <w:iCs w:val="0"/>
          <w:caps w:val="0"/>
          <w:smallCaps w:val="0"/>
          <w:color w:val="383940"/>
          <w:spacing w:val="0"/>
          <w:sz w:val="39"/>
          <w:szCs w:val="39"/>
          <w:bdr w:val="none" w:sz="0" w:space="0" w:color="auto"/>
          <w:shd w:val="clear" w:color="auto" w:fill="FFFFFF"/>
          <w:vertAlign w:val="baseline"/>
        </w:rPr>
        <w:t>榕城海关综合技术服务中心榕城海关福清地区餐饮食材配送服务采购项目中标公告</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一、项目编号：FJJF20250065</w:t>
      </w: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（招标文件编号：FJJF20250065）</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二、项目名称：榕城海关福清地区餐饮食材配送服务采购项目</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三、中标（成交）信息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供应商名称：福建鑫同福商贸有限公司</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供应商地址：福建省福州市台江区宁化街道宁化路126号福机新苑12#楼一层A6室</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包组或产品名称：餐饮食材配送</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下浮率(%)：8.0000000</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四、主要标的信息</w:t>
      </w:r>
    </w:p>
    <w:tbl>
      <w:tblPr>
        <w:jc w:val="left"/>
        <w:tblInd w:w="-101" w:type="dxa"/>
        <w:tblW w:w="8195" w:type="dxa"/>
        <w:tblBorders>
          <w:top w:val="outset" w:sz="18" w:space="0" w:color="auto"/>
          <w:left w:val="outset" w:sz="18" w:space="0" w:color="auto"/>
          <w:bottom w:val="outset" w:sz="18" w:space="0" w:color="auto"/>
          <w:right w:val="outset" w:sz="18" w:space="0" w:color="auto"/>
          <w:insideH w:val="outset" w:sz="18" w:space="0" w:color="auto"/>
          <w:insideV w:val="outset" w:sz="18" w:space="0" w:color="auto"/>
        </w:tblBorders>
        <w:shd w:val="clear" w:color="auto" w:fill="auto"/>
        <w:tblCellMar>
          <w:top w:w="0" w:type="dxa"/>
          <w:left w:w="0" w:type="dxa"/>
          <w:bottom w:w="0" w:type="dxa"/>
          <w:right w:w="0" w:type="dxa"/>
        </w:tblCellMar>
      </w:tblPr>
      <w:tblGrid>
        <w:gridCol w:w="627"/>
        <w:gridCol w:w="914"/>
        <w:gridCol w:w="736"/>
        <w:gridCol w:w="818"/>
        <w:gridCol w:w="2277"/>
        <w:gridCol w:w="737"/>
        <w:gridCol w:w="2086"/>
      </w:tblGrid>
      <w:tr>
        <w:trPr>
          <w:trHeight w:val="576"/>
        </w:trPr>
        <w:tc>
          <w:tcPr>
            <w:tcW w:w="627"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序号</w:t>
            </w:r>
          </w:p>
        </w:tc>
        <w:tc>
          <w:tcPr>
            <w:tcW w:w="914"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供应商名称</w:t>
            </w:r>
          </w:p>
        </w:tc>
        <w:tc>
          <w:tcPr>
            <w:tcW w:w="736"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服务名称</w:t>
            </w:r>
          </w:p>
        </w:tc>
        <w:tc>
          <w:tcPr>
            <w:tcW w:w="818"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服务范围</w:t>
            </w:r>
          </w:p>
        </w:tc>
        <w:tc>
          <w:tcPr>
            <w:tcW w:w="2277"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服务要求</w:t>
            </w:r>
          </w:p>
        </w:tc>
        <w:tc>
          <w:tcPr>
            <w:tcW w:w="737"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服务时间</w:t>
            </w:r>
          </w:p>
        </w:tc>
        <w:tc>
          <w:tcPr>
            <w:tcW w:w="2086"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服务标准</w:t>
            </w:r>
          </w:p>
        </w:tc>
      </w:tr>
      <w:tr>
        <w:trPr>
          <w:trHeight w:val="436"/>
        </w:trPr>
        <w:tc>
          <w:tcPr>
            <w:tcW w:w="627"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1</w:t>
            </w:r>
          </w:p>
        </w:tc>
        <w:tc>
          <w:tcPr>
            <w:tcW w:w="914"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福建鑫同福商贸有限公司</w:t>
            </w:r>
          </w:p>
        </w:tc>
        <w:tc>
          <w:tcPr>
            <w:tcW w:w="736"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餐饮食材配送</w:t>
            </w:r>
          </w:p>
        </w:tc>
        <w:tc>
          <w:tcPr>
            <w:tcW w:w="818"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福清市清荣大道299号、福清市清昌大道99号</w:t>
            </w:r>
          </w:p>
        </w:tc>
        <w:tc>
          <w:tcPr>
            <w:tcW w:w="2277"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采购配送的食材货物应符合《中华人民共和国食品安全法》、《中华人民共和国农产品质量安全法》、《中华人民共和国产品质量法》等相关食品质量、安全的法律法规，并符合最新的国家标准、行业标准等具体详见招标文件及投标文件</w:t>
            </w:r>
          </w:p>
        </w:tc>
        <w:tc>
          <w:tcPr>
            <w:tcW w:w="737"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1年</w:t>
            </w:r>
          </w:p>
        </w:tc>
        <w:tc>
          <w:tcPr>
            <w:tcW w:w="2086" w:type="dxa"/>
            <w:tcBorders>
              <w:top w:val="outset" w:sz="6" w:space="0" w:color="auto"/>
              <w:left w:val="outset" w:sz="8" w:space="0" w:color="auto"/>
              <w:bottom w:val="outset" w:sz="8" w:space="0" w:color="auto"/>
              <w:right w:val="outset" w:sz="8" w:space="0" w:color="auto"/>
            </w:tcBorders>
            <w:shd w:val="clear" w:color="auto" w:fill="auto"/>
          </w:tcPr>
          <w:p>
            <w:pPr>
              <w:keepNext w:val="0"/>
              <w:keepLines w:val="0"/>
              <w:widowControl/>
              <w:suppressLineNumbers w:val="0"/>
              <w:jc w:val="center"/>
              <w:textAlignment w:val="baseline"/>
            </w:pPr>
            <w:r>
              <w:rPr>
                <w:rFonts w:ascii="宋体" w:eastAsia="宋体" w:cs="宋体"/>
                <w:kern w:val="0"/>
                <w:sz w:val="24"/>
                <w:szCs w:val="24"/>
                <w:bdr w:val="none" w:sz="0" w:space="0" w:color="auto"/>
                <w:vertAlign w:val="baseline"/>
                <w:lang w:val="en-US" w:eastAsia="zh-CN"/>
              </w:rPr>
              <w:t>采购配送的食材货物应符合《中华人民共和国食品安全法》、《中华人民共和国农产品质量安全法》、《中华人民共和国产品质量法》等相关食品质量、安全的法律法规，并符合最新的国家标准、行业标准等具体详见招标文件及投标文件</w:t>
            </w:r>
          </w:p>
        </w:tc>
      </w:tr>
      <w:tr>
        <w:trPr>
          <w:trHeight w:val="169"/>
        </w:trPr>
        <w:tc>
          <w:tcPr>
            <w:tcW w:w="62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tcPr>
          <w:p>
            <w:pPr>
              <w:keepNext w:val="0"/>
              <w:keepLines w:val="0"/>
              <w:widowControl/>
              <w:suppressLineNumbers w:val="0"/>
              <w:jc w:val="left"/>
              <w:textAlignment w:val="baseline"/>
            </w:pPr>
            <w:r>
              <w:rPr>
                <w:rFonts w:ascii="宋体" w:eastAsia="宋体" w:cs="宋体"/>
                <w:kern w:val="0"/>
                <w:sz w:val="24"/>
                <w:szCs w:val="24"/>
                <w:bdr w:val="none" w:sz="0" w:space="0" w:color="auto"/>
                <w:vertAlign w:val="baseline"/>
                <w:lang w:val="en-US" w:eastAsia="zh-CN"/>
              </w:rPr>
              <w:t> </w:t>
            </w:r>
          </w:p>
        </w:tc>
        <w:tc>
          <w:tcPr>
            <w:tcW w:w="91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tcPr>
          <w:p>
            <w:pPr>
              <w:keepNext w:val="0"/>
              <w:keepLines w:val="0"/>
              <w:widowControl/>
              <w:suppressLineNumbers w:val="0"/>
              <w:jc w:val="left"/>
              <w:textAlignment w:val="baseline"/>
            </w:pPr>
            <w:r>
              <w:rPr>
                <w:rFonts w:ascii="宋体" w:eastAsia="宋体" w:cs="宋体"/>
                <w:kern w:val="0"/>
                <w:sz w:val="24"/>
                <w:szCs w:val="24"/>
                <w:bdr w:val="none" w:sz="0" w:space="0" w:color="auto"/>
                <w:vertAlign w:val="baseline"/>
                <w:lang w:val="en-US" w:eastAsia="zh-CN"/>
              </w:rPr>
              <w:t> </w:t>
            </w:r>
          </w:p>
        </w:tc>
        <w:tc>
          <w:tcPr>
            <w:tcW w:w="73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tcPr>
          <w:p>
            <w:pPr>
              <w:keepNext w:val="0"/>
              <w:keepLines w:val="0"/>
              <w:widowControl/>
              <w:suppressLineNumbers w:val="0"/>
              <w:jc w:val="left"/>
              <w:textAlignment w:val="baseline"/>
            </w:pPr>
            <w:r>
              <w:rPr>
                <w:rFonts w:ascii="宋体" w:eastAsia="宋体" w:cs="宋体"/>
                <w:kern w:val="0"/>
                <w:sz w:val="24"/>
                <w:szCs w:val="24"/>
                <w:bdr w:val="none" w:sz="0" w:space="0" w:color="auto"/>
                <w:vertAlign w:val="baseline"/>
                <w:lang w:val="en-US" w:eastAsia="zh-CN"/>
              </w:rPr>
              <w:t> </w:t>
            </w:r>
          </w:p>
        </w:tc>
        <w:tc>
          <w:tcPr>
            <w:tcW w:w="81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tcPr>
          <w:p>
            <w:pPr>
              <w:keepNext w:val="0"/>
              <w:keepLines w:val="0"/>
              <w:widowControl/>
              <w:suppressLineNumbers w:val="0"/>
              <w:jc w:val="left"/>
              <w:textAlignment w:val="baseline"/>
            </w:pPr>
            <w:r>
              <w:rPr>
                <w:rFonts w:ascii="宋体" w:eastAsia="宋体" w:cs="宋体"/>
                <w:kern w:val="0"/>
                <w:sz w:val="24"/>
                <w:szCs w:val="24"/>
                <w:bdr w:val="none" w:sz="0" w:space="0" w:color="auto"/>
                <w:vertAlign w:val="baseline"/>
                <w:lang w:val="en-US" w:eastAsia="zh-CN"/>
              </w:rPr>
              <w:t> </w:t>
            </w:r>
          </w:p>
        </w:tc>
        <w:tc>
          <w:tcPr>
            <w:tcW w:w="227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tcPr>
          <w:p>
            <w:pPr>
              <w:keepNext w:val="0"/>
              <w:keepLines w:val="0"/>
              <w:widowControl/>
              <w:suppressLineNumbers w:val="0"/>
              <w:jc w:val="left"/>
              <w:textAlignment w:val="baseline"/>
            </w:pPr>
            <w:r>
              <w:rPr>
                <w:rFonts w:ascii="宋体" w:eastAsia="宋体" w:cs="宋体"/>
                <w:kern w:val="0"/>
                <w:sz w:val="24"/>
                <w:szCs w:val="24"/>
                <w:bdr w:val="none" w:sz="0" w:space="0" w:color="auto"/>
                <w:vertAlign w:val="baseline"/>
                <w:lang w:val="en-US" w:eastAsia="zh-CN"/>
              </w:rPr>
              <w:t> </w:t>
            </w:r>
          </w:p>
        </w:tc>
        <w:tc>
          <w:tcPr>
            <w:tcW w:w="73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tcPr>
          <w:p>
            <w:pPr>
              <w:keepNext w:val="0"/>
              <w:keepLines w:val="0"/>
              <w:widowControl/>
              <w:suppressLineNumbers w:val="0"/>
              <w:jc w:val="left"/>
              <w:textAlignment w:val="baseline"/>
            </w:pPr>
            <w:r>
              <w:rPr>
                <w:rFonts w:ascii="宋体" w:eastAsia="宋体" w:cs="宋体"/>
                <w:kern w:val="0"/>
                <w:sz w:val="24"/>
                <w:szCs w:val="24"/>
                <w:bdr w:val="none" w:sz="0" w:space="0" w:color="auto"/>
                <w:vertAlign w:val="baseline"/>
                <w:lang w:val="en-US" w:eastAsia="zh-CN"/>
              </w:rPr>
              <w:t> </w:t>
            </w:r>
          </w:p>
        </w:tc>
        <w:tc>
          <w:tcPr>
            <w:tcW w:w="208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tcPr>
          <w:p>
            <w:pPr>
              <w:keepNext w:val="0"/>
              <w:keepLines w:val="0"/>
              <w:widowControl/>
              <w:suppressLineNumbers w:val="0"/>
              <w:jc w:val="left"/>
              <w:textAlignment w:val="baseline"/>
            </w:pPr>
            <w:r>
              <w:rPr>
                <w:rFonts w:ascii="宋体" w:eastAsia="宋体" w:cs="宋体"/>
                <w:kern w:val="0"/>
                <w:sz w:val="24"/>
                <w:szCs w:val="24"/>
                <w:bdr w:val="none" w:sz="0" w:space="0" w:color="auto"/>
                <w:vertAlign w:val="baseline"/>
                <w:lang w:val="en-US" w:eastAsia="zh-CN"/>
              </w:rPr>
              <w:t> </w:t>
            </w:r>
          </w:p>
        </w:tc>
      </w:tr>
    </w:tbl>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五、评审专家（单一来源采购人员）名单：</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乐智慧，薛亦玉，柳庆忠，陈翔，赵建晖（采购人代表）</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六、代理服务收费标准及金额：</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本项目代理费收费标准：本项目的招标代理服务费由中标人支付，中标人在领取中标通知书前向福建省金丰招标代理有限公司缴纳代理服务费。（保底服务费2000元）。 采购包1中标人参照中华人民共和国国家计划委员会（计价格[2002]1980号）文件规定的标准的70%收取，以预算金额（1535000元）为计算基数，收费标准：在100万元（含）人民币以内的：按1.5%计取；100万元-500万元的:按1.1%计取。 服务费汇入账户：开户名称：福建省金丰招标代理有限公司 开户银行：兴业银行福州北尚支行 账 号：117090100100030790。</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本项目代理费总金额：1.461950 万元（人民币）</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七、公告期限</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自本公告发布之日起1个工作日。</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八、其它补充事宜</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1、资格审查小组对各投标文件进行资格性审查，各投标文件均符合招标文件要求，属于有效投标。评标委员会对通过资格性检查的各投标文件进行符合性审查，各投标文件均符合招标文件要求，属于有效投标。</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2、中标人福建鑫同福商贸有限公司评审综合得分为：98.50分。</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3、未中标人可至我司领取未中标人的评审得分与排序告知的《评审通知书》，如需邮寄请将邮寄相关事项发送至fjjf10@163.com。</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九、凡对本次公告内容提出询问，请按以下方式联系。</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1.采购人信息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名 称：榕城海关综合技术服务中心</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地址：福建省福清市清荣大道299号</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联系方式：姜女士，0591-63079962</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2.采购代理机构信息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名 称：福建省金丰招标代理有限公司</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地　址：福州市晋安区六一北路92号实发九江大厦15楼</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联系方式：陈玉婷，0591-87580399</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3.项目联系方式</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项目联系人：陈玉婷</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电　话：0591-87580399</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40" w:lineRule="atLeast"/>
        <w:ind w:right="0"/>
        <w:textAlignment w:val="baseline"/>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lang w:eastAsia="zh-CN"/>
        </w:rPr>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lang w:eastAsia="zh-CN"/>
        </w:rPr>
        <w:drawing>
          <wp:inline distT="0" distB="0" distL="0" distR="0">
            <wp:extent cx="4352925" cy="5991225"/>
            <wp:effectExtent l="0" t="0" r="0" b="0"/>
            <wp:docPr id="1" name="图片 2" descr="58bd6db3dc4a44e5276a66251e2c210a"/>
            <wp:cNvGraphicFramePr>
              <a:graphicFrameLocks noChangeAspect="0"/>
            </wp:cNvGraphicFramePr>
            <a:graphic>
              <a:graphicData uri="http://schemas.openxmlformats.org/drawingml/2006/picture">
                <pic:pic>
                  <pic:nvPicPr>
                    <pic:cNvPr id="3" name="图片 2 3"/>
                    <pic:cNvPicPr/>
                  </pic:nvPicPr>
                  <pic:blipFill>
                    <a:blip r:embed="rId2"/>
                    <a:stretch>
                      <a:fillRect/>
                    </a:stretch>
                  </pic:blipFill>
                  <pic:spPr>
                    <a:xfrm rot="0">
                      <a:off x="0" y="0"/>
                      <a:ext cx="4352925" cy="5991225"/>
                    </a:xfrm>
                    <a:prstGeom prst="rect"/>
                    <a:noFill/>
                    <a:ln w="9525" cmpd="sng" cap="flat">
                      <a:noFill/>
                      <a:prstDash val="solid"/>
                      <a:miter/>
                    </a:ln>
                  </pic:spPr>
                </pic:pic>
              </a:graphicData>
            </a:graphic>
          </wp:inline>
        </w:drawing>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002020204"/>
    <w:charset w:val="86"/>
    <w:family w:val="auto"/>
    <w:pitch w:val="variable"/>
    <w:sig w:usb0="80000287" w:usb1="2ACF3C50" w:usb2="00000016" w:usb3="00000000" w:csb0="0004001F" w:csb1="00000000"/>
  </w:font>
  <w:font w:name="宋体">
    <w:panose1 w:val="02010600030001010101"/>
    <w:charset w:val="86"/>
    <w:family w:val="auto"/>
    <w:pitch w:val="variable"/>
    <w:sig w:usb0="00000003" w:usb1="288F0000" w:usb2="00000006" w:usb3="00000000" w:csb0="00040001" w:csb1="00000000"/>
  </w:font>
  <w:font w:name="Times New Roman">
    <w:panose1 w:val="02020603050004020304"/>
    <w:charset w:val="00"/>
    <w:family w:val="roman"/>
    <w:pitch w:val="variable"/>
    <w:sig w:usb0="20007A87" w:usb1="80000000" w:usb2="00000008" w:usb3="00000000" w:csb0="000001FF" w:csb1="00000000"/>
  </w:font>
  <w:font w:name="Calibri">
    <w:panose1 w:val="020F0502020002030204"/>
    <w:charset w:val="00"/>
    <w:family w:val="swiss"/>
    <w:pitch w:val="variable"/>
    <w:sig w:usb0="E4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png"/><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TotalTime>
  <Application>Yozo_Office</Application>
  <Pages>4</Pages>
  <Words>1082</Words>
  <Characters>1239</Characters>
  <Lines>102</Lines>
  <Paragraphs>46</Paragraphs>
  <CharactersWithSpaces>1256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赵建晖</cp:lastModifiedBy>
  <cp:revision>0</cp:revision>
  <dcterms:created xsi:type="dcterms:W3CDTF">2025-10-10T01:21:12Z</dcterms:created>
  <dcterms:modified xsi:type="dcterms:W3CDTF">2025-10-10T06:21:50Z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eyJoZGlkIjoiMDI4ZjBmNmEwZjJjZTAwYzRjMGQ3ZTEwNGM3ODIzYjUiLCJ1c2VySWQiOiIxNzIwMzE4MDAzIn0=</vt:lpwstr>
  </property>
  <property fmtid="{D5CDD505-2E9C-101B-9397-08002B2CF9AE}" pid="4" name="ICV">
    <vt:lpwstr>5b2d058a34644a1c96324544a4d7b9a6_23</vt:lpwstr>
  </property>
</Properties>
</file>