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b/>
          <w:sz w:val="84"/>
          <w:szCs w:val="84"/>
        </w:rPr>
        <w:t>马尾海关</w:t>
      </w:r>
      <w:r>
        <w:rPr>
          <w:rFonts w:hint="eastAsia"/>
          <w:b/>
          <w:sz w:val="84"/>
          <w:szCs w:val="84"/>
        </w:rPr>
        <w:t>部门预算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马尾</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马尾</w:t>
      </w:r>
      <w:r>
        <w:rPr>
          <w:rFonts w:hint="eastAsia"/>
          <w:sz w:val="36"/>
          <w:szCs w:val="36"/>
        </w:rPr>
        <w:t xml:space="preserve">海关单位构成情况 </w:t>
      </w:r>
    </w:p>
    <w:p>
      <w:pPr>
        <w:rPr>
          <w:b/>
          <w:sz w:val="44"/>
          <w:szCs w:val="44"/>
        </w:rPr>
      </w:pPr>
      <w:r>
        <w:rPr>
          <w:rFonts w:hint="eastAsia"/>
          <w:b/>
          <w:sz w:val="44"/>
          <w:szCs w:val="44"/>
        </w:rPr>
        <w:t xml:space="preserve">第二部分  </w:t>
      </w:r>
      <w:r>
        <w:rPr>
          <w:b/>
          <w:sz w:val="44"/>
          <w:szCs w:val="44"/>
        </w:rPr>
        <w:t>马尾海关2025</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马尾海关2025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马尾</w:t>
      </w:r>
      <w:r>
        <w:rPr>
          <w:rFonts w:hint="eastAsia"/>
          <w:b/>
          <w:sz w:val="84"/>
          <w:szCs w:val="84"/>
        </w:rPr>
        <w:t>海关部门概况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560" w:lineRule="exact"/>
        <w:ind w:firstLineChars="200" w:firstLine="640"/>
        <w:rPr>
          <w:rFonts w:eastAsia="方正仿宋_GBK"/>
          <w:sz w:val="32"/>
          <w:szCs w:val="32"/>
        </w:rPr>
      </w:pPr>
      <w:r>
        <w:rPr>
          <w:rFonts w:ascii="方正仿宋_GBK" w:eastAsia="方正仿宋_GBK" w:hint="eastAsia"/>
          <w:sz w:val="32"/>
          <w:szCs w:val="32"/>
        </w:rPr>
        <w:t>马尾海关是受福州海关直接领导，按授权负责马尾区、长乐区行政辖区内海港口岸（除长乐区松下港外）和马尾区行政辖区内福州出口加工区等特殊监管区域海关各类管理工作的执行机构。负责党的基层组织建设和干部队伍建设；办理具体海关业务，反馈执法作业结果；承办上级交办的其他工作事项。</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Pr>
          <w:rFonts w:ascii="方正黑体_GBK" w:eastAsia="方正黑体_GBK" w:cs="方正黑体_GBK"/>
          <w:sz w:val="32"/>
          <w:szCs w:val="32"/>
        </w:rPr>
        <w:t>马尾</w:t>
      </w:r>
      <w:r>
        <w:rPr>
          <w:rFonts w:ascii="方正黑体_GBK" w:eastAsia="方正黑体_GBK" w:cs="方正黑体_GBK" w:hint="eastAsia"/>
          <w:sz w:val="32"/>
          <w:szCs w:val="32"/>
        </w:rPr>
        <w:t>海关单位构成情况</w:t>
      </w:r>
    </w:p>
    <w:p>
      <w:pPr>
        <w:pStyle w:val="3609"/>
        <w:autoSpaceDN w:val="0"/>
        <w:spacing w:line="560" w:lineRule="exact"/>
        <w:ind w:firstLineChars="200" w:firstLine="640"/>
        <w:rPr>
          <w:rFonts w:eastAsia="方正仿宋_GBK"/>
          <w:sz w:val="32"/>
          <w:szCs w:val="32"/>
        </w:rPr>
      </w:pPr>
      <w:r>
        <w:rPr>
          <w:rFonts w:eastAsia="方正仿宋_GBK" w:hint="eastAsia"/>
          <w:sz w:val="32"/>
          <w:szCs w:val="32"/>
        </w:rPr>
        <w:t>马尾海关内设机构：</w:t>
      </w:r>
      <w:r>
        <w:rPr>
          <w:rFonts w:ascii="方正仿宋_GBK" w:eastAsia="方正仿宋_GBK" w:hint="eastAsia"/>
          <w:sz w:val="32"/>
          <w:szCs w:val="32"/>
        </w:rPr>
        <w:t>办公室、人事政工科、行财科、综合业务一科、综合业务二科、法制科、运输工具监管科、物流监控科、查验一科、查验二科、</w:t>
      </w:r>
      <w:r>
        <w:rPr>
          <w:rFonts w:ascii="方正仿宋_GBK" w:eastAsia="方正仿宋_GBK"/>
          <w:sz w:val="32"/>
          <w:szCs w:val="32"/>
        </w:rPr>
        <w:t>集中审像科</w:t>
      </w:r>
      <w:r>
        <w:rPr>
          <w:rFonts w:ascii="方正仿宋_GBK" w:eastAsia="方正仿宋_GBK" w:hint="eastAsia"/>
          <w:sz w:val="32"/>
          <w:szCs w:val="32"/>
        </w:rPr>
        <w:t>、旅检科、跨境电商监管科、亭江监管科</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sz w:val="32"/>
          <w:szCs w:val="32"/>
        </w:rPr>
        <w:t>纳入马尾海关2025年部门预算编制范围的单位如下：</w:t>
      </w:r>
    </w:p>
    <w:tbl>
      <w:tblPr>
        <w:jc w:val="left"/>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81"/>
        <w:gridCol w:w="2913"/>
        <w:gridCol w:w="581"/>
        <w:gridCol w:w="4453"/>
      </w:tblGrid>
      <w:tr>
        <w:trPr>
          <w:trHeight w:val="391"/>
        </w:trPr>
        <w:tc>
          <w:tcPr>
            <w:tcW w:w="581" w:type="dxa"/>
            <w:noWrap/>
            <w:vAlign w:val="center"/>
          </w:tcPr>
          <w:p>
            <w:pPr>
              <w:jc w:val="center"/>
              <w:rPr>
                <w:color w:val="000000"/>
                <w:sz w:val="18"/>
                <w:szCs w:val="18"/>
              </w:rPr>
            </w:pPr>
            <w:r>
              <w:rPr>
                <w:rFonts w:hint="eastAsia"/>
                <w:color w:val="000000"/>
                <w:sz w:val="18"/>
                <w:szCs w:val="18"/>
              </w:rPr>
              <w:t>序号</w:t>
            </w:r>
          </w:p>
        </w:tc>
        <w:tc>
          <w:tcPr>
            <w:tcW w:w="2913" w:type="dxa"/>
            <w:noWrap/>
            <w:vAlign w:val="center"/>
          </w:tcPr>
          <w:p>
            <w:pPr>
              <w:jc w:val="center"/>
              <w:rPr>
                <w:color w:val="000000"/>
                <w:sz w:val="18"/>
                <w:szCs w:val="18"/>
              </w:rPr>
            </w:pPr>
            <w:r>
              <w:rPr>
                <w:rFonts w:hint="eastAsia"/>
                <w:color w:val="000000"/>
                <w:sz w:val="18"/>
                <w:szCs w:val="18"/>
              </w:rPr>
              <w:t>单位</w:t>
            </w:r>
          </w:p>
        </w:tc>
        <w:tc>
          <w:tcPr>
            <w:tcW w:w="581" w:type="dxa"/>
            <w:noWrap/>
            <w:vAlign w:val="center"/>
          </w:tcPr>
          <w:p>
            <w:pPr>
              <w:jc w:val="center"/>
              <w:rPr>
                <w:color w:val="000000"/>
                <w:sz w:val="18"/>
                <w:szCs w:val="18"/>
              </w:rPr>
            </w:pPr>
            <w:r>
              <w:rPr>
                <w:rFonts w:hint="eastAsia"/>
                <w:color w:val="000000"/>
                <w:sz w:val="18"/>
                <w:szCs w:val="18"/>
              </w:rPr>
              <w:t>序号</w:t>
            </w:r>
          </w:p>
        </w:tc>
        <w:tc>
          <w:tcPr>
            <w:tcW w:w="4453" w:type="dxa"/>
            <w:noWrap/>
            <w:vAlign w:val="center"/>
          </w:tcPr>
          <w:p>
            <w:pPr>
              <w:jc w:val="center"/>
              <w:rPr>
                <w:color w:val="000000"/>
                <w:sz w:val="18"/>
                <w:szCs w:val="18"/>
              </w:rPr>
            </w:pPr>
            <w:r>
              <w:rPr>
                <w:rFonts w:hint="eastAsia"/>
                <w:color w:val="000000"/>
                <w:sz w:val="18"/>
                <w:szCs w:val="18"/>
              </w:rPr>
              <w:t>单位</w:t>
            </w:r>
          </w:p>
        </w:tc>
      </w:tr>
      <w:tr>
        <w:trPr>
          <w:trHeight w:val="391"/>
        </w:trPr>
        <w:tc>
          <w:tcPr>
            <w:tcW w:w="581" w:type="dxa"/>
            <w:noWrap/>
            <w:vAlign w:val="center"/>
          </w:tcPr>
          <w:p>
            <w:pPr>
              <w:jc w:val="center"/>
              <w:rPr>
                <w:color w:val="000000"/>
                <w:sz w:val="20"/>
                <w:szCs w:val="20"/>
              </w:rPr>
            </w:pPr>
            <w:r>
              <w:rPr>
                <w:color w:val="000000"/>
                <w:sz w:val="20"/>
                <w:szCs w:val="20"/>
              </w:rPr>
              <w:t>1</w:t>
            </w:r>
          </w:p>
        </w:tc>
        <w:tc>
          <w:tcPr>
            <w:tcW w:w="2913" w:type="dxa"/>
            <w:tcBorders>
              <w:top w:val="single" w:sz="4" w:space="0" w:color="auto"/>
              <w:left w:val="single" w:sz="4" w:space="0" w:color="auto"/>
              <w:right w:val="single" w:sz="4" w:space="0" w:color="auto"/>
            </w:tcBorders>
            <w:noWrap/>
            <w:vAlign w:val="center"/>
          </w:tcPr>
          <w:p>
            <w:pPr>
              <w:jc w:val="center"/>
              <w:rPr>
                <w:color w:val="000000"/>
                <w:sz w:val="20"/>
                <w:szCs w:val="20"/>
              </w:rPr>
            </w:pPr>
            <w:r>
              <w:rPr>
                <w:color w:val="000000"/>
                <w:sz w:val="20"/>
                <w:szCs w:val="20"/>
              </w:rPr>
              <w:t>马尾海关</w:t>
            </w:r>
          </w:p>
        </w:tc>
        <w:tc>
          <w:tcPr>
            <w:tcW w:w="581" w:type="dxa"/>
            <w:tcBorders>
              <w:top w:val="single" w:sz="4" w:space="0" w:color="auto"/>
              <w:left w:val="single" w:sz="4" w:space="0" w:color="auto"/>
              <w:right w:val="single" w:sz="4" w:space="0" w:color="auto"/>
            </w:tcBorders>
            <w:noWrap/>
            <w:vAlign w:val="center"/>
          </w:tcPr>
          <w:p>
            <w:pPr>
              <w:pStyle w:val="4096"/>
              <w:widowControl/>
              <w:jc w:val="center"/>
              <w:rPr>
                <w:rFonts w:ascii="Times New Roman" w:cs="Times New Roman" w:hAnsi="Times New Roman"/>
                <w:kern w:val="0"/>
                <w:sz w:val="20"/>
                <w:szCs w:val="20"/>
              </w:rPr>
            </w:pPr>
            <w:r>
              <w:rPr>
                <w:rFonts w:ascii="Times New Roman" w:cs="Times New Roman" w:hAnsi="Times New Roman"/>
                <w:kern w:val="0"/>
                <w:sz w:val="20"/>
                <w:szCs w:val="20"/>
              </w:rPr>
              <w:t>2</w:t>
            </w:r>
          </w:p>
        </w:tc>
        <w:tc>
          <w:tcPr>
            <w:tcW w:w="4453" w:type="dxa"/>
            <w:noWrap/>
            <w:vAlign w:val="center"/>
          </w:tcPr>
          <w:p>
            <w:pPr>
              <w:pStyle w:val="4097"/>
              <w:widowControl/>
              <w:jc w:val="center"/>
              <w:rPr>
                <w:rFonts w:ascii="Times New Roman" w:eastAsia="方正仿宋_GBK" w:cs="宋体" w:hAnsi="Times New Roman"/>
                <w:kern w:val="0"/>
                <w:sz w:val="20"/>
                <w:szCs w:val="20"/>
              </w:rPr>
            </w:pPr>
            <w:r>
              <w:rPr>
                <w:rFonts w:ascii="宋体" w:hint="eastAsia"/>
                <w:color w:val="000000"/>
                <w:sz w:val="20"/>
                <w:szCs w:val="20"/>
              </w:rPr>
              <w:t>马尾海关缉私分局</w:t>
            </w:r>
          </w:p>
        </w:tc>
      </w:tr>
    </w:tbl>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pPr>
      <w:r>
        <w:rPr>
          <w:b/>
          <w:sz w:val="72"/>
          <w:szCs w:val="72"/>
        </w:rPr>
        <w:t>马尾</w:t>
      </w:r>
      <w:r>
        <w:rPr>
          <w:rFonts w:hint="eastAsia"/>
          <w:b/>
          <w:sz w:val="72"/>
          <w:szCs w:val="72"/>
        </w:rPr>
        <w:t>海关</w:t>
      </w:r>
      <w:r>
        <w:rPr>
          <w:b/>
          <w:sz w:val="72"/>
          <w:szCs w:val="72"/>
        </w:rPr>
        <w:t>2025</w:t>
      </w:r>
      <w:r>
        <w:rPr>
          <w:rFonts w:hint="eastAsia"/>
          <w:b/>
          <w:sz w:val="72"/>
          <w:szCs w:val="72"/>
        </w:rPr>
        <w:t>年</w:t>
      </w:r>
    </w:p>
    <w:p>
      <w:pPr>
        <w:keepNext w:val="0"/>
        <w:widowControl w:val="0"/>
        <w:jc w:val="center"/>
        <w:rPr>
          <w:b/>
          <w:sz w:val="72"/>
          <w:szCs w:val="72"/>
        </w:rPr>
      </w:pPr>
      <w:r>
        <w:rPr>
          <w:rFonts w:hint="eastAsia"/>
          <w:b/>
          <w:sz w:val="72"/>
          <w:szCs w:val="72"/>
        </w:rPr>
        <w:t>部门预算表</w:t>
      </w:r>
    </w:p>
    <w:p>
      <w:pPr>
        <w:keepNext w:val="0"/>
        <w:widowControl w:val="0"/>
        <w:jc w:val="center"/>
      </w:pPr>
    </w:p>
    <w:p>
      <w:pPr>
        <w:keepNext w:val="0"/>
        <w:widowControl w:val="0"/>
        <w:jc w:val="center"/>
        <w:rPr>
          <w:b/>
          <w:sz w:val="72"/>
          <w:szCs w:val="72"/>
        </w:rPr>
      </w:pPr>
      <w:r>
        <w:rPr>
          <w:b/>
          <w:sz w:val="72"/>
          <w:szCs w:val="72"/>
        </w:rPr>
        <w:br w:type="page"/>
      </w:r>
    </w:p>
    <w:p>
      <w:pPr>
        <w:jc w:val="center"/>
        <w:rPr>
          <w:b/>
          <w:sz w:val="72"/>
          <w:szCs w:val="72"/>
        </w:rPr>
        <w:sectPr>
          <w:pgSz w:w="11906" w:h="16838"/>
          <w:pgMar w:top="1440" w:right="1797" w:bottom="1440" w:left="1797" w:header="851" w:footer="992" w:gutter="0"/>
          <w:docGrid w:type="linesAndChars" w:linePitch="312" w:charSpace="0"/>
        </w:sectPr>
      </w:pP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2"/>
        <w:gridCol w:w="4275"/>
        <w:gridCol w:w="4743"/>
        <w:gridCol w:w="2966"/>
      </w:tblGrid>
      <w:tr>
        <w:trPr>
          <w:trHeight w:val="170"/>
        </w:trPr>
        <w:tc>
          <w:tcPr>
            <w:tcW w:w="1160" w:type="pct"/>
            <w:tcBorders>
              <w:top w:val="nil"/>
              <w:left w:val="nil"/>
              <w:bottom w:val="nil"/>
              <w:right w:val="nil"/>
            </w:tcBorders>
            <w:noWrap/>
            <w:vAlign w:val="center"/>
          </w:tcPr>
          <w:p>
            <w:pPr>
              <w:rPr>
                <w:sz w:val="20"/>
              </w:rPr>
            </w:pPr>
            <w:bookmarkStart w:id="0" w:name="RANGE!A1:D18"/>
            <w:bookmarkEnd w:id="0"/>
          </w:p>
        </w:tc>
        <w:tc>
          <w:tcPr>
            <w:tcW w:w="1369" w:type="pct"/>
            <w:tcBorders>
              <w:top w:val="nil"/>
              <w:left w:val="nil"/>
              <w:bottom w:val="nil"/>
              <w:right w:val="nil"/>
            </w:tcBorders>
            <w:noWrap/>
            <w:vAlign w:val="center"/>
          </w:tcPr>
          <w:p>
            <w:pPr>
              <w:rPr>
                <w:sz w:val="16"/>
              </w:rPr>
            </w:pPr>
          </w:p>
        </w:tc>
        <w:tc>
          <w:tcPr>
            <w:tcW w:w="1519" w:type="pct"/>
            <w:tcBorders>
              <w:top w:val="nil"/>
              <w:left w:val="nil"/>
              <w:bottom w:val="nil"/>
              <w:right w:val="nil"/>
            </w:tcBorders>
            <w:noWrap/>
            <w:vAlign w:val="center"/>
          </w:tcPr>
          <w:p>
            <w:pPr>
              <w:rPr>
                <w:sz w:val="16"/>
              </w:rPr>
            </w:pPr>
          </w:p>
        </w:tc>
        <w:tc>
          <w:tcPr>
            <w:tcW w:w="950" w:type="pct"/>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bl>
    <w:p>
      <w:pPr>
        <w:widowControl/>
        <w:spacing w:line="160" w:lineRule="atLeast"/>
        <w:rPr>
          <w:rFonts w:cs="宋体"/>
          <w:kern w:val="0"/>
          <w:sz w:val="15"/>
          <w:szCs w:val="15"/>
        </w:rPr>
      </w:pPr>
    </w:p>
    <w:tbl>
      <w:tblPr>
        <w:jc w:val="left"/>
        <w:tblW w:w="1305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00"/>
        <w:gridCol w:w="2943"/>
        <w:gridCol w:w="4095"/>
        <w:gridCol w:w="2415"/>
      </w:tblGrid>
      <w:tr>
        <w:trPr>
          <w:trHeight w:val="299"/>
        </w:trPr>
        <w:tc>
          <w:tcPr>
            <w:tcW w:w="3600" w:type="dxa"/>
            <w:tcBorders>
              <w:top w:val="nil"/>
              <w:left w:val="nil"/>
              <w:bottom w:val="nil"/>
              <w:right w:val="nil"/>
              <w:tl2br w:val="nil"/>
              <w:tr2bl w:val="nil"/>
            </w:tcBorders>
            <w:noWrap/>
            <w:vAlign w:val="center"/>
          </w:tcPr>
          <w:p>
            <w:pPr>
              <w:rPr>
                <w:rFonts w:ascii="宋体" w:eastAsia="宋体"/>
                <w:sz w:val="20"/>
              </w:rPr>
            </w:pPr>
          </w:p>
        </w:tc>
        <w:tc>
          <w:tcPr>
            <w:tcW w:w="2943" w:type="dxa"/>
            <w:tcBorders>
              <w:top w:val="nil"/>
              <w:left w:val="nil"/>
              <w:bottom w:val="nil"/>
              <w:right w:val="nil"/>
              <w:tl2br w:val="nil"/>
              <w:tr2bl w:val="nil"/>
            </w:tcBorders>
            <w:noWrap/>
            <w:vAlign w:val="center"/>
          </w:tcPr>
          <w:p>
            <w:pPr>
              <w:rPr>
                <w:rFonts w:ascii="宋体" w:eastAsia="宋体"/>
                <w:sz w:val="20"/>
              </w:rPr>
            </w:pPr>
          </w:p>
        </w:tc>
        <w:tc>
          <w:tcPr>
            <w:tcW w:w="4095" w:type="dxa"/>
            <w:tcBorders>
              <w:top w:val="nil"/>
              <w:left w:val="nil"/>
              <w:bottom w:val="nil"/>
              <w:right w:val="nil"/>
              <w:tl2br w:val="nil"/>
              <w:tr2bl w:val="nil"/>
            </w:tcBorders>
            <w:noWrap/>
            <w:vAlign w:val="center"/>
          </w:tcPr>
          <w:p>
            <w:pPr>
              <w:rPr>
                <w:rFonts w:ascii="宋体" w:eastAsia="宋体"/>
                <w:sz w:val="20"/>
              </w:rPr>
            </w:pPr>
          </w:p>
        </w:tc>
        <w:tc>
          <w:tcPr>
            <w:tcW w:w="2415" w:type="dxa"/>
            <w:tcBorders>
              <w:top w:val="nil"/>
              <w:left w:val="nil"/>
              <w:bottom w:val="nil"/>
              <w:right w:val="nil"/>
              <w:tl2br w:val="nil"/>
              <w:tr2bl w:val="nil"/>
            </w:tcBorders>
            <w:noWrap/>
            <w:vAlign w:val="center"/>
          </w:tcPr>
          <w:p>
            <w:pPr>
              <w:jc w:val="right"/>
              <w:rPr>
                <w:rFonts w:ascii="宋体" w:eastAsia="宋体" w:cs="宋体"/>
                <w:color w:val="000000"/>
                <w:sz w:val="20"/>
              </w:rPr>
            </w:pPr>
          </w:p>
        </w:tc>
      </w:tr>
      <w:tr>
        <w:trPr>
          <w:trHeight w:val="614"/>
        </w:trPr>
        <w:tc>
          <w:tcPr>
            <w:tcW w:w="13052" w:type="dxa"/>
            <w:gridSpan w:val="4"/>
            <w:tcBorders>
              <w:top w:val="nil"/>
              <w:left w:val="nil"/>
              <w:bottom w:val="nil"/>
              <w:right w:val="nil"/>
              <w:tl2br w:val="nil"/>
              <w:tr2bl w:val="nil"/>
            </w:tcBorders>
            <w:noWrap/>
            <w:vAlign w:val="center"/>
          </w:tcPr>
          <w:p>
            <w:pPr>
              <w:jc w:val="center"/>
              <w:rPr>
                <w:rFonts w:ascii="宋体" w:eastAsia="宋体" w:cs="宋体"/>
                <w:b/>
                <w:i w:val="0"/>
                <w:color w:val="000000"/>
                <w:sz w:val="48"/>
              </w:rPr>
            </w:pPr>
            <w:r>
              <w:rPr>
                <w:rFonts w:ascii="宋体" w:eastAsia="宋体" w:cs="宋体"/>
                <w:b/>
                <w:i w:val="0"/>
                <w:color w:val="000000"/>
                <w:sz w:val="48"/>
              </w:rPr>
              <w:t>部门收支总表</w:t>
            </w:r>
          </w:p>
        </w:tc>
      </w:tr>
      <w:tr>
        <w:trPr>
          <w:trHeight w:val="329"/>
        </w:trPr>
        <w:tc>
          <w:tcPr>
            <w:tcW w:w="3600" w:type="dxa"/>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单位：中华人民共和国马尾海关</w:t>
            </w:r>
          </w:p>
        </w:tc>
        <w:tc>
          <w:tcPr>
            <w:tcW w:w="2943" w:type="dxa"/>
            <w:tcBorders>
              <w:top w:val="nil"/>
              <w:left w:val="nil"/>
              <w:bottom w:val="nil"/>
              <w:right w:val="nil"/>
              <w:tl2br w:val="nil"/>
              <w:tr2bl w:val="nil"/>
            </w:tcBorders>
            <w:noWrap/>
            <w:vAlign w:val="center"/>
          </w:tcPr>
          <w:p>
            <w:pPr>
              <w:rPr>
                <w:rFonts w:ascii="宋体" w:eastAsia="宋体"/>
                <w:color w:val="000000"/>
                <w:sz w:val="18"/>
              </w:rPr>
            </w:pPr>
          </w:p>
        </w:tc>
        <w:tc>
          <w:tcPr>
            <w:tcW w:w="4095" w:type="dxa"/>
            <w:tcBorders>
              <w:top w:val="nil"/>
              <w:left w:val="nil"/>
              <w:bottom w:val="nil"/>
              <w:right w:val="nil"/>
              <w:tl2br w:val="nil"/>
              <w:tr2bl w:val="nil"/>
            </w:tcBorders>
            <w:noWrap/>
            <w:vAlign w:val="center"/>
          </w:tcPr>
          <w:p>
            <w:pPr>
              <w:rPr>
                <w:rFonts w:ascii="宋体" w:eastAsia="宋体"/>
                <w:color w:val="000000"/>
                <w:sz w:val="18"/>
              </w:rPr>
            </w:pPr>
          </w:p>
        </w:tc>
        <w:tc>
          <w:tcPr>
            <w:tcW w:w="2415" w:type="dxa"/>
            <w:tcBorders>
              <w:top w:val="nil"/>
              <w:left w:val="nil"/>
              <w:bottom w:val="nil"/>
              <w:right w:val="nil"/>
              <w:tl2br w:val="nil"/>
              <w:tr2bl w:val="nil"/>
            </w:tcBorders>
            <w:noWrap/>
            <w:vAlign w:val="center"/>
          </w:tcPr>
          <w:p>
            <w:pPr>
              <w:jc w:val="right"/>
              <w:rPr>
                <w:rFonts w:ascii="宋体" w:eastAsia="宋体" w:cs="宋体"/>
                <w:color w:val="000000"/>
                <w:sz w:val="18"/>
              </w:rPr>
            </w:pPr>
            <w:r>
              <w:rPr>
                <w:rFonts w:ascii="宋体" w:eastAsia="宋体" w:cs="宋体"/>
                <w:color w:val="000000"/>
                <w:sz w:val="18"/>
              </w:rPr>
              <w:t>单位：万元</w:t>
            </w:r>
          </w:p>
        </w:tc>
      </w:tr>
      <w:tr>
        <w:trPr>
          <w:trHeight w:val="374"/>
        </w:trPr>
        <w:tc>
          <w:tcPr>
            <w:tcW w:w="654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收      入</w:t>
            </w:r>
          </w:p>
        </w:tc>
        <w:tc>
          <w:tcPr>
            <w:tcW w:w="65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支      出</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一、一般公共预算拨款收入</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4,193.87</w:t>
            </w: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一、一般公共服务支出</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4,675.31</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二、政府性基金预算拨款收入</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二、公共安全支出</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513.71</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三、国有资本经营预算拨款收入</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三、社会保障和就业支出</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724.62</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四、事业收入</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四、卫生健康支出</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五、事业单位经营收入</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五、住房保障支出</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577.76</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六、其他收入</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2,000.00</w:t>
            </w: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本年收入合计</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6,193.87</w:t>
            </w: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本年支出合计</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6,739.48</w:t>
            </w: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使用非财政拨款结余</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结转下年（非财政拨款）</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上年结转</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545.61</w:t>
            </w: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36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收    入    总    计</w:t>
            </w:r>
          </w:p>
        </w:tc>
        <w:tc>
          <w:tcPr>
            <w:tcW w:w="2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6,739.48</w:t>
            </w:r>
          </w:p>
        </w:tc>
        <w:tc>
          <w:tcPr>
            <w:tcW w:w="40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支    出    总    计</w:t>
            </w:r>
          </w:p>
        </w:tc>
        <w:tc>
          <w:tcPr>
            <w:tcW w:w="241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6,739.48</w:t>
            </w:r>
          </w:p>
        </w:tc>
      </w:tr>
    </w:tbl>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tbl>
      <w:tblPr>
        <w:jc w:val="left"/>
        <w:tblW w:w="1524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99"/>
        <w:gridCol w:w="856"/>
        <w:gridCol w:w="696"/>
        <w:gridCol w:w="569"/>
        <w:gridCol w:w="569"/>
        <w:gridCol w:w="569"/>
        <w:gridCol w:w="702"/>
        <w:gridCol w:w="843"/>
        <w:gridCol w:w="944"/>
        <w:gridCol w:w="945"/>
        <w:gridCol w:w="735"/>
        <w:gridCol w:w="945"/>
        <w:gridCol w:w="734"/>
        <w:gridCol w:w="840"/>
        <w:gridCol w:w="839"/>
        <w:gridCol w:w="839"/>
        <w:gridCol w:w="840"/>
        <w:gridCol w:w="835"/>
        <w:gridCol w:w="1049"/>
      </w:tblGrid>
      <w:tr>
        <w:trPr>
          <w:trHeight w:val="704"/>
        </w:trPr>
        <w:tc>
          <w:tcPr>
            <w:tcW w:w="899" w:type="dxa"/>
            <w:tcBorders>
              <w:top w:val="nil"/>
              <w:left w:val="nil"/>
              <w:bottom w:val="nil"/>
              <w:right w:val="nil"/>
              <w:tl2br w:val="nil"/>
              <w:tr2bl w:val="nil"/>
            </w:tcBorders>
            <w:noWrap/>
            <w:vAlign w:val="center"/>
          </w:tcPr>
          <w:p>
            <w:pPr>
              <w:jc w:val="center"/>
              <w:rPr>
                <w:rFonts w:ascii="宋体" w:eastAsia="宋体" w:cs="宋体"/>
                <w:b/>
                <w:i w:val="0"/>
                <w:color w:val="000000"/>
                <w:sz w:val="48"/>
              </w:rPr>
            </w:pPr>
          </w:p>
        </w:tc>
        <w:tc>
          <w:tcPr>
            <w:tcW w:w="13300" w:type="dxa"/>
            <w:gridSpan w:val="17"/>
            <w:tcBorders>
              <w:top w:val="nil"/>
              <w:left w:val="nil"/>
              <w:bottom w:val="nil"/>
              <w:right w:val="nil"/>
              <w:tl2br w:val="nil"/>
              <w:tr2bl w:val="nil"/>
            </w:tcBorders>
            <w:noWrap/>
            <w:vAlign w:val="center"/>
          </w:tcPr>
          <w:p>
            <w:pPr>
              <w:jc w:val="center"/>
              <w:rPr>
                <w:rFonts w:ascii="宋体" w:eastAsia="宋体" w:cs="宋体"/>
                <w:b/>
                <w:i w:val="0"/>
                <w:sz w:val="48"/>
              </w:rPr>
            </w:pPr>
            <w:r>
              <w:rPr>
                <w:rFonts w:ascii="宋体" w:eastAsia="宋体" w:cs="宋体"/>
                <w:b/>
                <w:i w:val="0"/>
                <w:sz w:val="48"/>
              </w:rPr>
              <w:t>部门收入总表</w:t>
            </w:r>
          </w:p>
        </w:tc>
        <w:tc>
          <w:tcPr>
            <w:tcW w:w="1049" w:type="dxa"/>
            <w:tcBorders>
              <w:top w:val="nil"/>
              <w:left w:val="nil"/>
              <w:bottom w:val="nil"/>
              <w:right w:val="nil"/>
              <w:tl2br w:val="nil"/>
              <w:tr2bl w:val="nil"/>
            </w:tcBorders>
            <w:noWrap/>
            <w:vAlign w:val="center"/>
          </w:tcPr>
          <w:p>
            <w:pPr>
              <w:rPr>
                <w:rFonts w:ascii="Times New Roman" w:eastAsia="宋体" w:hAnsi="Times New Roman"/>
                <w:sz w:val="24"/>
              </w:rPr>
            </w:pPr>
          </w:p>
        </w:tc>
      </w:tr>
      <w:tr>
        <w:trPr>
          <w:trHeight w:val="284"/>
        </w:trPr>
        <w:tc>
          <w:tcPr>
            <w:tcW w:w="13364" w:type="dxa"/>
            <w:gridSpan w:val="17"/>
            <w:tcBorders>
              <w:top w:val="nil"/>
              <w:left w:val="nil"/>
              <w:bottom w:val="nil"/>
              <w:right w:val="nil"/>
              <w:tl2br w:val="nil"/>
              <w:tr2bl w:val="nil"/>
            </w:tcBorders>
            <w:noWrap/>
            <w:vAlign w:val="center"/>
          </w:tcPr>
          <w:p>
            <w:pPr>
              <w:rPr>
                <w:rFonts w:ascii="宋体" w:eastAsia="宋体" w:cs="宋体"/>
                <w:color w:val="000000"/>
                <w:sz w:val="16"/>
              </w:rPr>
            </w:pPr>
            <w:r>
              <w:rPr>
                <w:rFonts w:ascii="宋体" w:eastAsia="宋体" w:cs="宋体"/>
                <w:color w:val="000000"/>
                <w:sz w:val="16"/>
              </w:rPr>
              <w:t>单位：中华人民共和国马尾海关</w:t>
            </w:r>
          </w:p>
        </w:tc>
        <w:tc>
          <w:tcPr>
            <w:tcW w:w="1884" w:type="dxa"/>
            <w:gridSpan w:val="2"/>
            <w:tcBorders>
              <w:top w:val="nil"/>
              <w:left w:val="nil"/>
              <w:bottom w:val="nil"/>
              <w:right w:val="nil"/>
              <w:tl2br w:val="nil"/>
              <w:tr2bl w:val="nil"/>
            </w:tcBorders>
            <w:noWrap/>
            <w:vAlign w:val="center"/>
          </w:tcPr>
          <w:p>
            <w:pPr>
              <w:jc w:val="right"/>
              <w:rPr>
                <w:rFonts w:ascii="宋体" w:eastAsia="宋体" w:cs="宋体"/>
                <w:color w:val="000000"/>
                <w:sz w:val="16"/>
              </w:rPr>
            </w:pPr>
            <w:r>
              <w:rPr>
                <w:rFonts w:ascii="宋体" w:eastAsia="宋体" w:cs="宋体"/>
                <w:color w:val="000000"/>
                <w:sz w:val="16"/>
              </w:rPr>
              <w:t>单位：万元</w:t>
            </w:r>
          </w:p>
        </w:tc>
      </w:tr>
      <w:tr>
        <w:trPr>
          <w:trHeight w:val="359"/>
        </w:trPr>
        <w:tc>
          <w:tcPr>
            <w:tcW w:w="89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单位名称</w:t>
            </w:r>
          </w:p>
        </w:tc>
        <w:tc>
          <w:tcPr>
            <w:tcW w:w="856"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合计</w:t>
            </w:r>
          </w:p>
        </w:tc>
        <w:tc>
          <w:tcPr>
            <w:tcW w:w="3948" w:type="dxa"/>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上年结转</w:t>
            </w:r>
          </w:p>
        </w:tc>
        <w:tc>
          <w:tcPr>
            <w:tcW w:w="8496" w:type="dxa"/>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本年收入</w:t>
            </w:r>
          </w:p>
        </w:tc>
        <w:tc>
          <w:tcPr>
            <w:tcW w:w="104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使用非财政拨款结余</w:t>
            </w:r>
          </w:p>
        </w:tc>
      </w:tr>
      <w:tr>
        <w:trPr>
          <w:trHeight w:val="359"/>
        </w:trPr>
        <w:tc>
          <w:tcPr>
            <w:tcW w:w="89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6"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96"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小计</w:t>
            </w:r>
          </w:p>
        </w:tc>
        <w:tc>
          <w:tcPr>
            <w:tcW w:w="56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一般公共预算结转资金</w:t>
            </w:r>
          </w:p>
        </w:tc>
        <w:tc>
          <w:tcPr>
            <w:tcW w:w="56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政府性基金预算结转资金</w:t>
            </w:r>
          </w:p>
        </w:tc>
        <w:tc>
          <w:tcPr>
            <w:tcW w:w="56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国有资本经营预算结转资金</w:t>
            </w:r>
          </w:p>
        </w:tc>
        <w:tc>
          <w:tcPr>
            <w:tcW w:w="702"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财政专户管理资金</w:t>
            </w:r>
          </w:p>
        </w:tc>
        <w:tc>
          <w:tcPr>
            <w:tcW w:w="842"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其他资金</w:t>
            </w:r>
          </w:p>
        </w:tc>
        <w:tc>
          <w:tcPr>
            <w:tcW w:w="94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小计</w:t>
            </w:r>
          </w:p>
        </w:tc>
        <w:tc>
          <w:tcPr>
            <w:tcW w:w="94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一般公共预算拨款</w:t>
            </w:r>
          </w:p>
        </w:tc>
        <w:tc>
          <w:tcPr>
            <w:tcW w:w="73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政府性基金预算拨款</w:t>
            </w:r>
          </w:p>
        </w:tc>
        <w:tc>
          <w:tcPr>
            <w:tcW w:w="94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国有资本经营预算拨款</w:t>
            </w:r>
          </w:p>
        </w:tc>
        <w:tc>
          <w:tcPr>
            <w:tcW w:w="157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事业收入</w:t>
            </w:r>
          </w:p>
        </w:tc>
        <w:tc>
          <w:tcPr>
            <w:tcW w:w="83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事业单位经营收入</w:t>
            </w:r>
          </w:p>
        </w:tc>
        <w:tc>
          <w:tcPr>
            <w:tcW w:w="83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上级补助</w:t>
            </w:r>
          </w:p>
          <w:p>
            <w:pPr>
              <w:jc w:val="center"/>
              <w:rPr>
                <w:rFonts w:ascii="宋体" w:eastAsia="宋体" w:cs="宋体"/>
                <w:color w:val="000000"/>
                <w:sz w:val="16"/>
              </w:rPr>
            </w:pPr>
            <w:r>
              <w:rPr>
                <w:rFonts w:ascii="宋体" w:eastAsia="宋体" w:cs="宋体"/>
                <w:color w:val="000000"/>
                <w:sz w:val="16"/>
              </w:rPr>
              <w:t>收入</w:t>
            </w:r>
          </w:p>
        </w:tc>
        <w:tc>
          <w:tcPr>
            <w:tcW w:w="84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附属单位</w:t>
            </w:r>
          </w:p>
          <w:p>
            <w:pPr>
              <w:jc w:val="center"/>
              <w:rPr>
                <w:rFonts w:ascii="宋体" w:eastAsia="宋体" w:cs="宋体"/>
                <w:color w:val="000000"/>
                <w:sz w:val="16"/>
              </w:rPr>
            </w:pPr>
            <w:r>
              <w:rPr>
                <w:rFonts w:ascii="宋体" w:eastAsia="宋体" w:cs="宋体"/>
                <w:color w:val="000000"/>
                <w:sz w:val="16"/>
              </w:rPr>
              <w:t>上缴收入</w:t>
            </w:r>
          </w:p>
        </w:tc>
        <w:tc>
          <w:tcPr>
            <w:tcW w:w="83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其他收入</w:t>
            </w:r>
          </w:p>
        </w:tc>
        <w:tc>
          <w:tcPr>
            <w:tcW w:w="3272"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539"/>
        </w:trPr>
        <w:tc>
          <w:tcPr>
            <w:tcW w:w="89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56"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96"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6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6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6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02"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2"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4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4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3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4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金额</w:t>
            </w: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其中：财政专户管理资金</w:t>
            </w:r>
          </w:p>
        </w:tc>
        <w:tc>
          <w:tcPr>
            <w:tcW w:w="83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3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0"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3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3272"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674"/>
        </w:trPr>
        <w:tc>
          <w:tcPr>
            <w:tcW w:w="8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中华人民共和国马尾海关</w:t>
            </w:r>
          </w:p>
        </w:tc>
        <w:tc>
          <w:tcPr>
            <w:tcW w:w="85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6,739.48</w:t>
            </w:r>
          </w:p>
        </w:tc>
        <w:tc>
          <w:tcPr>
            <w:tcW w:w="6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545.61</w:t>
            </w:r>
          </w:p>
        </w:tc>
        <w:tc>
          <w:tcPr>
            <w:tcW w:w="5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3.94</w:t>
            </w:r>
          </w:p>
        </w:tc>
        <w:tc>
          <w:tcPr>
            <w:tcW w:w="5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5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70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84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541.67</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6,193.87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4,193.87</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7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83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83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2,000.00</w:t>
            </w:r>
          </w:p>
        </w:tc>
        <w:tc>
          <w:tcPr>
            <w:tcW w:w="104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r>
      <w:tr>
        <w:trPr>
          <w:trHeight w:val="674"/>
        </w:trPr>
        <w:tc>
          <w:tcPr>
            <w:tcW w:w="8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6"/>
              </w:rPr>
            </w:pPr>
            <w:r>
              <w:rPr>
                <w:rFonts w:ascii="宋体" w:eastAsia="宋体" w:cs="宋体"/>
                <w:sz w:val="16"/>
              </w:rPr>
              <w:t>合计</w:t>
            </w:r>
          </w:p>
        </w:tc>
        <w:tc>
          <w:tcPr>
            <w:tcW w:w="85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6,739.48</w:t>
            </w:r>
          </w:p>
        </w:tc>
        <w:tc>
          <w:tcPr>
            <w:tcW w:w="6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545.61</w:t>
            </w:r>
          </w:p>
        </w:tc>
        <w:tc>
          <w:tcPr>
            <w:tcW w:w="5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3.94</w:t>
            </w:r>
          </w:p>
        </w:tc>
        <w:tc>
          <w:tcPr>
            <w:tcW w:w="5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6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70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84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541.67</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6,193.87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4,193.87</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7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83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83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8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2,000.00</w:t>
            </w:r>
          </w:p>
        </w:tc>
        <w:tc>
          <w:tcPr>
            <w:tcW w:w="104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keepNext w:val="0"/>
        <w:widowControl w:val="0"/>
        <w:jc w:val="right"/>
        <w:rPr>
          <w:rFonts w:ascii="黑体" w:eastAsia="黑体" w:cs="黑体"/>
          <w:sz w:val="20"/>
          <w:szCs w:val="20"/>
        </w:rPr>
      </w:pPr>
      <w:r>
        <w:rPr>
          <w:rFonts w:ascii="黑体" w:eastAsia="黑体" w:cs="黑体" w:hint="eastAsia"/>
          <w:sz w:val="20"/>
          <w:szCs w:val="20"/>
        </w:rPr>
        <w:t>部门公开表3</w:t>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80"/>
        <w:gridCol w:w="2895"/>
        <w:gridCol w:w="1425"/>
        <w:gridCol w:w="1560"/>
        <w:gridCol w:w="1320"/>
        <w:gridCol w:w="1395"/>
        <w:gridCol w:w="1605"/>
        <w:gridCol w:w="1620"/>
      </w:tblGrid>
      <w:tr>
        <w:trPr>
          <w:trHeight w:val="614"/>
        </w:trPr>
        <w:tc>
          <w:tcPr>
            <w:tcW w:w="13200" w:type="dxa"/>
            <w:gridSpan w:val="8"/>
            <w:tcBorders>
              <w:top w:val="nil"/>
              <w:left w:val="nil"/>
              <w:bottom w:val="nil"/>
              <w:right w:val="nil"/>
              <w:tl2br w:val="nil"/>
              <w:tr2bl w:val="nil"/>
            </w:tcBorders>
            <w:noWrap/>
            <w:vAlign w:val="center"/>
          </w:tcPr>
          <w:p>
            <w:pPr>
              <w:jc w:val="center"/>
              <w:rPr>
                <w:rFonts w:ascii="宋体" w:eastAsia="宋体" w:cs="宋体"/>
                <w:b/>
                <w:i w:val="0"/>
                <w:color w:val="000000"/>
                <w:sz w:val="48"/>
              </w:rPr>
            </w:pPr>
            <w:r>
              <w:rPr>
                <w:rFonts w:ascii="宋体" w:eastAsia="宋体" w:cs="宋体"/>
                <w:b/>
                <w:i w:val="0"/>
                <w:color w:val="000000"/>
                <w:sz w:val="48"/>
              </w:rPr>
              <w:t>部门支出总表</w:t>
            </w:r>
          </w:p>
        </w:tc>
      </w:tr>
      <w:tr>
        <w:trPr>
          <w:trHeight w:val="314"/>
        </w:trPr>
        <w:tc>
          <w:tcPr>
            <w:tcW w:w="11580" w:type="dxa"/>
            <w:gridSpan w:val="7"/>
            <w:tcBorders>
              <w:top w:val="nil"/>
              <w:left w:val="nil"/>
              <w:bottom w:val="nil"/>
              <w:right w:val="nil"/>
              <w:tl2br w:val="nil"/>
              <w:tr2bl w:val="nil"/>
            </w:tcBorders>
            <w:noWrap/>
            <w:vAlign w:val="center"/>
          </w:tcPr>
          <w:p>
            <w:pPr>
              <w:rPr>
                <w:rFonts w:ascii="宋体" w:eastAsia="宋体" w:cs="宋体"/>
                <w:color w:val="000000"/>
                <w:sz w:val="16"/>
              </w:rPr>
            </w:pPr>
            <w:r>
              <w:rPr>
                <w:rFonts w:ascii="宋体" w:eastAsia="宋体" w:cs="宋体"/>
                <w:color w:val="000000"/>
                <w:sz w:val="16"/>
              </w:rPr>
              <w:t>单位：中华人民共和国马尾海关</w:t>
            </w:r>
          </w:p>
        </w:tc>
        <w:tc>
          <w:tcPr>
            <w:tcW w:w="1620" w:type="dxa"/>
            <w:tcBorders>
              <w:top w:val="nil"/>
              <w:left w:val="nil"/>
              <w:bottom w:val="nil"/>
              <w:right w:val="nil"/>
              <w:tl2br w:val="nil"/>
              <w:tr2bl w:val="nil"/>
            </w:tcBorders>
            <w:noWrap/>
            <w:vAlign w:val="center"/>
          </w:tcPr>
          <w:p>
            <w:pPr>
              <w:jc w:val="right"/>
              <w:rPr>
                <w:rFonts w:ascii="宋体" w:eastAsia="宋体" w:cs="宋体"/>
                <w:color w:val="000000"/>
                <w:sz w:val="16"/>
              </w:rPr>
            </w:pPr>
            <w:r>
              <w:rPr>
                <w:rFonts w:ascii="宋体" w:eastAsia="宋体" w:cs="宋体"/>
                <w:color w:val="000000"/>
                <w:sz w:val="16"/>
              </w:rPr>
              <w:t>单位：万元</w:t>
            </w:r>
          </w:p>
        </w:tc>
      </w:tr>
      <w:tr>
        <w:trPr>
          <w:trHeight w:val="65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科目代码</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科目名称</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合计</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基本支出</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项目支出</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上缴上级支出</w:t>
            </w: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事业单位经营支出</w:t>
            </w: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对附属单位补助支出</w:t>
            </w: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一般公共服务支出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4,675.31</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4,397.78</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277.53</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海关事务</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4,675.31</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4,397.78</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277.53</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2010901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行政运行</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4,397.78</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4,397.78</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2010905</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缉私办案</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1.13</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1.13</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2010909</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海关关务</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247.70</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247.70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2010911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海关监管</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15.00</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15.00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2010912</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检验检疫</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13.70</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204</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公共安全支出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513.71</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453.71</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60.00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20410</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缉私警察</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513.71</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453.71</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60.00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2041001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行政运行</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453.71</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453.71</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2041007</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缉私业务</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60.00</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60.00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208</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社会保障和就业支出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724.62</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724.62</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行政事业单位养老支出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724.62</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724.62</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行政单位离退休</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4.12</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4.12</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2080505</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机关事业单位基本养老保险缴费支出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476.87</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476.87</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2080506</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机关事业单位职业年金缴费支出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243.63</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243.63</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210</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卫生健康支出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248.08</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248.08</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行政事业单位医疗</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248.08</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248.08</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2101101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行政单位医疗</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154.77</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154.77</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2101103</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公务员医疗补助</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90.20</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90.20</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2101199</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其他行政事业单位医疗支出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3.11</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3.11</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221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住房保障支出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577.76</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577.76</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住房改革支出</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577.76</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577.76</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2210201</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住房公积金</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372.60</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372.60</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2210203</w:t>
            </w: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购房补贴</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205.16</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205.16</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449"/>
        </w:trPr>
        <w:tc>
          <w:tcPr>
            <w:tcW w:w="13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i w:val="0"/>
                <w:sz w:val="16"/>
              </w:rPr>
            </w:pPr>
          </w:p>
        </w:tc>
        <w:tc>
          <w:tcPr>
            <w:tcW w:w="28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b/>
                <w:i w:val="0"/>
                <w:sz w:val="16"/>
              </w:rPr>
            </w:pPr>
            <w:r>
              <w:rPr>
                <w:rFonts w:ascii="宋体" w:eastAsia="宋体" w:cs="宋体"/>
                <w:b/>
                <w:i w:val="0"/>
                <w:sz w:val="16"/>
              </w:rPr>
              <w:t>合        计</w:t>
            </w:r>
          </w:p>
        </w:tc>
        <w:tc>
          <w:tcPr>
            <w:tcW w:w="14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6,739.48</w:t>
            </w:r>
          </w:p>
        </w:tc>
        <w:tc>
          <w:tcPr>
            <w:tcW w:w="15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6,401.95</w:t>
            </w:r>
          </w:p>
        </w:tc>
        <w:tc>
          <w:tcPr>
            <w:tcW w:w="13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337.53</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c>
          <w:tcPr>
            <w:tcW w:w="16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c>
          <w:tcPr>
            <w:tcW w:w="16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r>
    </w:tbl>
    <w:p>
      <w:pPr>
        <w:keepNext w:val="0"/>
        <w:widowControl w:val="0"/>
        <w:jc w:val="right"/>
        <w:rPr>
          <w:rFonts w:ascii="黑体" w:eastAsia="黑体" w:cs="黑体"/>
          <w:sz w:val="20"/>
          <w:szCs w:val="20"/>
        </w:rPr>
      </w:pPr>
      <w:r>
        <w:rPr>
          <w:rFonts w:ascii="黑体" w:eastAsia="黑体" w:cs="黑体"/>
          <w:sz w:val="20"/>
          <w:szCs w:val="20"/>
        </w:rPr>
        <w:br w:type="page"/>
      </w:r>
    </w:p>
    <w:p>
      <w:pPr>
        <w:jc w:val="right"/>
        <w:rPr>
          <w:rFonts w:ascii="方正黑体_GBK" w:eastAsia="方正黑体_GBK" w:cs="方正黑体_GBK"/>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line="48" w:lineRule="auto"/>
        <w:rPr>
          <w:rFonts w:ascii="Times New Roman" w:eastAsia="宋体" w:hAnsi="Times New Roman"/>
          <w:sz w:val="2"/>
        </w:rPr>
      </w:pPr>
    </w:p>
    <w:tbl>
      <w:tblPr>
        <w:jc w:val="left"/>
        <w:tblW w:w="136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9"/>
        <w:gridCol w:w="3150"/>
        <w:gridCol w:w="3570"/>
        <w:gridCol w:w="3254"/>
      </w:tblGrid>
      <w:tr>
        <w:trPr>
          <w:trHeight w:val="299"/>
        </w:trPr>
        <w:tc>
          <w:tcPr>
            <w:tcW w:w="10349" w:type="dxa"/>
            <w:gridSpan w:val="3"/>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单位：中华人民共和国马尾海关</w:t>
            </w:r>
          </w:p>
        </w:tc>
        <w:tc>
          <w:tcPr>
            <w:tcW w:w="3254" w:type="dxa"/>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单位：万元</w:t>
            </w:r>
          </w:p>
        </w:tc>
      </w:tr>
      <w:tr>
        <w:trPr>
          <w:trHeight w:val="374"/>
        </w:trPr>
        <w:tc>
          <w:tcPr>
            <w:tcW w:w="677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收      入</w:t>
            </w:r>
          </w:p>
        </w:tc>
        <w:tc>
          <w:tcPr>
            <w:tcW w:w="682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支      出</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    目</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    目</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一、本年收入</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4,193.87</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一、本年支出</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4,197.81</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（一）一般公共预算拨款</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4,193.87</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（一）一般公共服务支出</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2,683.64</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（二）政府性基金预算拨款</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（二）公共安全支出</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463.71</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（三）国有资本经营预算拨款</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（三）社会保障和就业支出</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424.62</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18"/>
              </w:rPr>
            </w:pP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（四）卫生健康支出</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248.08</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二、上年结转</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3.94</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（五）住房保障支出</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377.76</w:t>
            </w: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（一）一般公共预算拨款</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r>
              <w:rPr>
                <w:rFonts w:ascii="宋体" w:eastAsia="宋体" w:cs="宋体"/>
                <w:color w:val="000000"/>
                <w:sz w:val="18"/>
              </w:rPr>
              <w:t>3.94</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（二）政府性基金预算拨款</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r>
              <w:rPr>
                <w:rFonts w:ascii="宋体" w:eastAsia="宋体" w:cs="宋体"/>
                <w:color w:val="000000"/>
                <w:sz w:val="18"/>
              </w:rPr>
              <w:t>（三）国有资本经营预算拨款</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8"/>
              </w:rPr>
            </w:pP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8"/>
              </w:rPr>
            </w:pP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r>
      <w:tr>
        <w:trPr>
          <w:trHeight w:val="374"/>
        </w:trPr>
        <w:tc>
          <w:tcPr>
            <w:tcW w:w="3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 xml:space="preserve">     收    入    总    计</w:t>
            </w:r>
          </w:p>
        </w:tc>
        <w:tc>
          <w:tcPr>
            <w:tcW w:w="31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4,197.81</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 xml:space="preserve">     支    出    总    计</w:t>
            </w:r>
          </w:p>
        </w:tc>
        <w:tc>
          <w:tcPr>
            <w:tcW w:w="32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4,197.81</w:t>
            </w:r>
          </w:p>
        </w:tc>
      </w:tr>
    </w:tbl>
    <w:p>
      <w:pPr>
        <w:pStyle w:val="2308"/>
        <w:rPr>
          <w:rFonts w:ascii="Times New Roman" w:eastAsia="宋体" w:hAnsi="Times New Roman"/>
        </w:rPr>
      </w:pPr>
    </w:p>
    <w:p>
      <w:pPr>
        <w:pStyle w:val="2308"/>
        <w:rPr>
          <w:rFonts w:ascii="Times New Roman" w:eastAsia="宋体" w:hAnsi="Times New Roman"/>
        </w:rPr>
        <w:sectPr>
          <w:pgSz w:w="16841" w:h="11907" w:orient="landscape"/>
          <w:pgMar w:top="548" w:right="1322" w:bottom="0" w:left="1324" w:header="0" w:footer="283" w:gutter="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W w:w="1477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65"/>
        <w:gridCol w:w="1920"/>
        <w:gridCol w:w="1080"/>
        <w:gridCol w:w="1080"/>
        <w:gridCol w:w="1080"/>
        <w:gridCol w:w="1080"/>
        <w:gridCol w:w="1080"/>
        <w:gridCol w:w="1080"/>
        <w:gridCol w:w="1080"/>
        <w:gridCol w:w="1170"/>
        <w:gridCol w:w="1080"/>
        <w:gridCol w:w="1080"/>
      </w:tblGrid>
      <w:tr>
        <w:trPr>
          <w:trHeight w:val="479"/>
        </w:trPr>
        <w:tc>
          <w:tcPr>
            <w:tcW w:w="3885"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rPr>
              <w:t>功能分类科目</w:t>
            </w:r>
          </w:p>
        </w:tc>
        <w:tc>
          <w:tcPr>
            <w:tcW w:w="2160"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rPr>
              <w:t>202</w:t>
            </w:r>
            <w:r>
              <w:rPr>
                <w:rFonts w:ascii="Times New Roman" w:eastAsia="宋体" w:cs="Microsoft JhengHei" w:hAnsi="Times New Roman"/>
                <w:sz w:val="16"/>
              </w:rPr>
              <w:t>4</w:t>
            </w:r>
            <w:r>
              <w:rPr>
                <w:rFonts w:ascii="Times New Roman" w:eastAsia="宋体" w:cs="Microsoft JhengHei" w:hAnsi="Times New Roman" w:hint="eastAsia"/>
                <w:sz w:val="16"/>
              </w:rPr>
              <w:t>年执行数</w:t>
            </w:r>
          </w:p>
        </w:tc>
        <w:tc>
          <w:tcPr>
            <w:tcW w:w="4320"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rPr>
              <w:t>202</w:t>
            </w:r>
            <w:r>
              <w:rPr>
                <w:rFonts w:ascii="Times New Roman" w:eastAsia="宋体" w:cs="Microsoft JhengHei" w:hAnsi="Times New Roman"/>
                <w:sz w:val="16"/>
              </w:rPr>
              <w:t>5</w:t>
            </w:r>
            <w:r>
              <w:rPr>
                <w:rFonts w:ascii="Times New Roman" w:eastAsia="宋体" w:cs="Microsoft JhengHei" w:hAnsi="Times New Roman" w:hint="eastAsia"/>
                <w:sz w:val="16"/>
              </w:rPr>
              <w:t>年预算数</w:t>
            </w:r>
          </w:p>
        </w:tc>
        <w:tc>
          <w:tcPr>
            <w:tcW w:w="2250"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宋体" w:eastAsia="宋体"/>
                <w:color w:val="000000"/>
                <w:sz w:val="16"/>
              </w:rPr>
              <w:t>2025年预算数比</w:t>
              <w:br/>
              <w:t>2024年执行数</w:t>
            </w:r>
          </w:p>
        </w:tc>
        <w:tc>
          <w:tcPr>
            <w:tcW w:w="2160"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rPr>
              <w:t>202</w:t>
            </w:r>
            <w:r>
              <w:rPr>
                <w:rFonts w:ascii="Times New Roman" w:eastAsia="宋体" w:cs="Microsoft JhengHei" w:hAnsi="Times New Roman"/>
                <w:sz w:val="16"/>
              </w:rPr>
              <w:t>5</w:t>
            </w:r>
            <w:r>
              <w:rPr>
                <w:rFonts w:ascii="Times New Roman" w:eastAsia="宋体" w:cs="Microsoft JhengHei" w:hAnsi="Times New Roman" w:hint="eastAsia"/>
                <w:sz w:val="16"/>
              </w:rPr>
              <w:t>年预算数比</w:t>
            </w:r>
            <w:r>
              <w:rPr>
                <w:rFonts w:ascii="Times New Roman" w:eastAsia="宋体" w:cs="Microsoft JhengHei" w:hAnsi="Times New Roman"/>
                <w:sz w:val="16"/>
              </w:rPr>
              <w:br/>
            </w:r>
            <w:r>
              <w:rPr>
                <w:rFonts w:ascii="Times New Roman" w:eastAsia="宋体" w:cs="Microsoft JhengHei" w:hAnsi="Times New Roman" w:hint="eastAsia"/>
                <w:sz w:val="16"/>
              </w:rPr>
              <w:t>202</w:t>
            </w:r>
            <w:r>
              <w:rPr>
                <w:rFonts w:ascii="Times New Roman" w:eastAsia="宋体" w:cs="Microsoft JhengHei" w:hAnsi="Times New Roman"/>
                <w:sz w:val="16"/>
              </w:rPr>
              <w:t>4</w:t>
            </w:r>
            <w:r>
              <w:rPr>
                <w:rFonts w:ascii="Times New Roman" w:eastAsia="宋体" w:cs="Microsoft JhengHei" w:hAnsi="Times New Roman" w:hint="eastAsia"/>
                <w:sz w:val="16"/>
              </w:rPr>
              <w:t>年执行数</w:t>
            </w:r>
            <w:r>
              <w:rPr>
                <w:rFonts w:ascii="Times New Roman" w:eastAsia="宋体" w:cs="Microsoft JhengHei" w:hAnsi="Times New Roman"/>
                <w:sz w:val="16"/>
              </w:rPr>
              <w:br/>
            </w:r>
            <w:r>
              <w:rPr>
                <w:rFonts w:ascii="Times New Roman" w:eastAsia="宋体" w:cs="Microsoft JhengHei" w:hAnsi="Times New Roman" w:hint="eastAsia"/>
                <w:sz w:val="16"/>
              </w:rPr>
              <w:t>（扣除中央基建投资）</w:t>
            </w:r>
          </w:p>
        </w:tc>
      </w:tr>
      <w:tr>
        <w:trPr>
          <w:trHeight w:val="419"/>
        </w:trPr>
        <w:tc>
          <w:tcPr>
            <w:tcW w:w="1965"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Times New Roman" w:eastAsia="宋体" w:cs="Microsoft JhengHei" w:hAnsi="Times New Roman" w:hint="eastAsia"/>
                <w:sz w:val="16"/>
              </w:rPr>
              <w:t>科目编码</w:t>
            </w:r>
          </w:p>
        </w:tc>
        <w:tc>
          <w:tcPr>
            <w:tcW w:w="192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Times New Roman" w:eastAsia="宋体" w:cs="Microsoft JhengHei" w:hAnsi="Times New Roman" w:hint="eastAsia"/>
                <w:sz w:val="16"/>
              </w:rPr>
              <w:t>科目名称</w:t>
            </w:r>
          </w:p>
        </w:tc>
        <w:tc>
          <w:tcPr>
            <w:tcW w:w="108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Times New Roman" w:eastAsia="宋体" w:cs="Microsoft JhengHei" w:hAnsi="Times New Roman" w:hint="eastAsia"/>
                <w:sz w:val="16"/>
              </w:rPr>
              <w:t>执行数</w:t>
            </w:r>
          </w:p>
        </w:tc>
        <w:tc>
          <w:tcPr>
            <w:tcW w:w="108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Times New Roman" w:eastAsia="宋体" w:cs="Microsoft JhengHei" w:hAnsi="Times New Roman" w:hint="eastAsia"/>
                <w:sz w:val="16"/>
              </w:rPr>
              <w:t>扣除中央基建投资后执行数</w:t>
            </w:r>
          </w:p>
        </w:tc>
        <w:tc>
          <w:tcPr>
            <w:tcW w:w="324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rPr>
              <w:t>年初预算数</w:t>
            </w:r>
          </w:p>
        </w:tc>
        <w:tc>
          <w:tcPr>
            <w:tcW w:w="108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Times New Roman" w:eastAsia="宋体" w:cs="Microsoft JhengHei" w:hAnsi="Times New Roman" w:hint="eastAsia"/>
                <w:sz w:val="16"/>
              </w:rPr>
              <w:t>扣除中央基建投资后预算数</w:t>
            </w:r>
          </w:p>
        </w:tc>
        <w:tc>
          <w:tcPr>
            <w:tcW w:w="108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宋体" w:eastAsia="宋体"/>
                <w:color w:val="000000"/>
                <w:sz w:val="16"/>
              </w:rPr>
              <w:t>增减额</w:t>
            </w:r>
          </w:p>
        </w:tc>
        <w:tc>
          <w:tcPr>
            <w:tcW w:w="117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宋体" w:eastAsia="宋体"/>
                <w:color w:val="000000"/>
                <w:sz w:val="16"/>
              </w:rPr>
              <w:t>增减(%)</w:t>
            </w:r>
          </w:p>
        </w:tc>
        <w:tc>
          <w:tcPr>
            <w:tcW w:w="108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Times New Roman" w:eastAsia="宋体" w:cs="Microsoft JhengHei" w:hAnsi="Times New Roman" w:hint="eastAsia"/>
                <w:sz w:val="16"/>
              </w:rPr>
              <w:t>增减额</w:t>
            </w:r>
          </w:p>
        </w:tc>
        <w:tc>
          <w:tcPr>
            <w:tcW w:w="1080" w:type="dxa"/>
            <w:vMerge w:val="restart"/>
            <w:tcBorders>
              <w:top w:val="single" w:sz="4" w:space="0" w:color="000000"/>
              <w:left w:val="single" w:sz="4" w:space="0" w:color="000000"/>
              <w:bottom w:val="nil"/>
              <w:right w:val="single" w:sz="4" w:space="0" w:color="000000"/>
              <w:tl2br w:val="nil"/>
              <w:tr2bl w:val="nil"/>
            </w:tcBorders>
            <w:noWrap/>
            <w:vAlign w:val="center"/>
          </w:tcPr>
          <w:p>
            <w:pPr>
              <w:jc w:val="center"/>
            </w:pPr>
            <w:r>
              <w:rPr>
                <w:rFonts w:ascii="Times New Roman" w:eastAsia="宋体" w:cs="Microsoft JhengHei" w:hAnsi="Times New Roman" w:hint="eastAsia"/>
                <w:sz w:val="16"/>
              </w:rPr>
              <w:t>增减(%)</w:t>
            </w:r>
          </w:p>
        </w:tc>
      </w:tr>
      <w:tr>
        <w:trPr>
          <w:trHeight w:val="479"/>
        </w:trPr>
        <w:tc>
          <w:tcPr>
            <w:tcW w:w="1965" w:type="dxa"/>
            <w:vMerge/>
            <w:tcBorders>
              <w:top w:val="nil"/>
              <w:left w:val="single" w:sz="4" w:space="0" w:color="000000"/>
              <w:bottom w:val="single" w:sz="4" w:space="0" w:color="000000"/>
              <w:right w:val="single" w:sz="4" w:space="0" w:color="000000"/>
              <w:tl2br w:val="nil"/>
              <w:tr2bl w:val="nil"/>
            </w:tcBorders>
            <w:noWrap/>
            <w:vAlign w:val="center"/>
          </w:tcPr>
          <w:p/>
        </w:tc>
        <w:tc>
          <w:tcPr>
            <w:tcW w:w="1920" w:type="dxa"/>
            <w:vMerge/>
            <w:tcBorders>
              <w:top w:val="nil"/>
              <w:left w:val="single" w:sz="4" w:space="0" w:color="000000"/>
              <w:bottom w:val="single" w:sz="4" w:space="0" w:color="000000"/>
              <w:right w:val="single" w:sz="4" w:space="0" w:color="000000"/>
              <w:tl2br w:val="nil"/>
              <w:tr2bl w:val="nil"/>
            </w:tcBorders>
            <w:noWrap/>
            <w:vAlign w:val="center"/>
          </w:tcPr>
          <w:p/>
        </w:tc>
        <w:tc>
          <w:tcPr>
            <w:tcW w:w="1080" w:type="dxa"/>
            <w:vMerge/>
            <w:tcBorders>
              <w:top w:val="nil"/>
              <w:left w:val="single" w:sz="4" w:space="0" w:color="000000"/>
              <w:bottom w:val="single" w:sz="4" w:space="0" w:color="000000"/>
              <w:right w:val="single" w:sz="4" w:space="0" w:color="000000"/>
              <w:tl2br w:val="nil"/>
              <w:tr2bl w:val="nil"/>
            </w:tcBorders>
            <w:noWrap/>
            <w:vAlign w:val="center"/>
          </w:tcPr>
          <w:p/>
        </w:tc>
        <w:tc>
          <w:tcPr>
            <w:tcW w:w="1080" w:type="dxa"/>
            <w:vMerge/>
            <w:tcBorders>
              <w:top w:val="nil"/>
              <w:left w:val="single" w:sz="4" w:space="0" w:color="000000"/>
              <w:bottom w:val="single" w:sz="4" w:space="0" w:color="000000"/>
              <w:right w:val="single" w:sz="4" w:space="0" w:color="000000"/>
              <w:tl2br w:val="nil"/>
              <w:tr2bl w:val="nil"/>
            </w:tcBorders>
            <w:noWrap/>
            <w:vAlign w:val="center"/>
          </w:tcP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szCs w:val="16"/>
              </w:rPr>
              <w:t>小计</w:t>
            </w: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szCs w:val="16"/>
              </w:rPr>
              <w:t>基本支出</w:t>
            </w: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center"/>
            </w:pPr>
            <w:r>
              <w:rPr>
                <w:rFonts w:ascii="Times New Roman" w:eastAsia="宋体" w:cs="Microsoft JhengHei" w:hAnsi="Times New Roman" w:hint="eastAsia"/>
                <w:sz w:val="16"/>
                <w:szCs w:val="16"/>
              </w:rPr>
              <w:t>项目支出</w:t>
            </w:r>
          </w:p>
        </w:tc>
        <w:tc>
          <w:tcPr>
            <w:tcW w:w="1080" w:type="dxa"/>
            <w:vMerge/>
            <w:tcBorders>
              <w:top w:val="nil"/>
              <w:left w:val="single" w:sz="4" w:space="0" w:color="000000"/>
              <w:bottom w:val="single" w:sz="4" w:space="0" w:color="000000"/>
              <w:right w:val="single" w:sz="4" w:space="0" w:color="000000"/>
              <w:tl2br w:val="nil"/>
              <w:tr2bl w:val="nil"/>
            </w:tcBorders>
            <w:noWrap/>
            <w:vAlign w:val="center"/>
          </w:tcPr>
          <w:p/>
        </w:tc>
        <w:tc>
          <w:tcPr>
            <w:tcW w:w="1080" w:type="dxa"/>
            <w:vMerge/>
            <w:tcBorders>
              <w:top w:val="nil"/>
              <w:left w:val="single" w:sz="4" w:space="0" w:color="000000"/>
              <w:bottom w:val="single" w:sz="4" w:space="0" w:color="000000"/>
              <w:right w:val="single" w:sz="4" w:space="0" w:color="000000"/>
              <w:tl2br w:val="nil"/>
              <w:tr2bl w:val="nil"/>
            </w:tcBorders>
            <w:noWrap/>
            <w:vAlign w:val="center"/>
          </w:tcPr>
          <w:p/>
        </w:tc>
        <w:tc>
          <w:tcPr>
            <w:tcW w:w="1170" w:type="dxa"/>
            <w:vMerge/>
            <w:tcBorders>
              <w:top w:val="nil"/>
              <w:left w:val="single" w:sz="4" w:space="0" w:color="000000"/>
              <w:bottom w:val="single" w:sz="4" w:space="0" w:color="000000"/>
              <w:right w:val="single" w:sz="4" w:space="0" w:color="000000"/>
              <w:tl2br w:val="nil"/>
              <w:tr2bl w:val="nil"/>
            </w:tcBorders>
            <w:noWrap/>
            <w:vAlign w:val="center"/>
          </w:tcPr>
          <w:p/>
        </w:tc>
        <w:tc>
          <w:tcPr>
            <w:tcW w:w="1080" w:type="dxa"/>
            <w:vMerge/>
            <w:tcBorders>
              <w:top w:val="nil"/>
              <w:left w:val="single" w:sz="4" w:space="0" w:color="000000"/>
              <w:bottom w:val="single" w:sz="4" w:space="0" w:color="000000"/>
              <w:right w:val="single" w:sz="4" w:space="0" w:color="000000"/>
              <w:tl2br w:val="nil"/>
              <w:tr2bl w:val="nil"/>
            </w:tcBorders>
            <w:noWrap/>
            <w:vAlign w:val="center"/>
          </w:tcPr>
          <w:p/>
        </w:tc>
        <w:tc>
          <w:tcPr>
            <w:tcW w:w="1080" w:type="dxa"/>
            <w:vMerge/>
            <w:tcBorders>
              <w:top w:val="nil"/>
              <w:left w:val="single" w:sz="4" w:space="0" w:color="000000"/>
              <w:bottom w:val="single" w:sz="4" w:space="0" w:color="000000"/>
              <w:right w:val="single" w:sz="4" w:space="0" w:color="000000"/>
              <w:tl2br w:val="nil"/>
              <w:tr2bl w:val="nil"/>
            </w:tcBorders>
            <w:noWrap/>
            <w:vAlign w:val="center"/>
          </w:tcP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一般公共服务支出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2,534.46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2,534.46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2,679.70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2,402.17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649.35</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2,679.70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145.24</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5.73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145.24</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5.73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海关事务</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2,534.46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2,534.46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2,679.70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2,402.17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649.35</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2,679.70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145.24</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5.73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145.24</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5.73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2010901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行政运行</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2,349.83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2,349.83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2,402.17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2,402.17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649.35</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2,402.17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52.34</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2.23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52.34</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2.23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2010905</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缉私办案</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4.53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4.53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1.13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1.13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-3.40</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-75.06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-3.40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-75.06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2010909</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海关关务</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150.60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150.60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247.70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247.70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97.10</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64.48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97.10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64.48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2010911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海关监管</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11.00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11.00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4.00</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36.36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36.36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2010912</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检验检疫</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18.50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18.50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13.70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-4.80</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-25.95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-4.80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-25.95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204</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公共安全支出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425.29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425.29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463.71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403.71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100.37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463.71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38.42</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9.03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38.42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9.03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20410</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缉私警察</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425.29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425.29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463.71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403.71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100.37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463.71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38.42</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9.03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38.42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9.03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2041001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行政运行</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365.29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365.29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403.71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403.71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100.37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403.71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38.42</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10.52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38.42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10.52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2041007</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缉私业务</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60.00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60.00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60.00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60.00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社会保障和就业支出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380.43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380.43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424.62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424.62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424.62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44.19</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11.62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44.19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11.62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20805</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行政事业单位养老支出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380.43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380.43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424.62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424.62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424.62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44.19</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11.62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44.19</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11.62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2080501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行政单位离退休</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3.87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4.12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0.25</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6.46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0.25</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6.46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2080505</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机关事业单位基本养老保险缴费支出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240.75</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240.75</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276.87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276.87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276.87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36.12</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15.00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36.12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15.00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2080506</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机关事业单位职业年金缴费支出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135.81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135.81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143.63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143.63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143.63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7.82</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5.76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7.82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5.76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210</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卫生健康支出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21011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行政事业单位医疗</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248.08</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2101101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行政单位医疗</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154.77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154.77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154.77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154.77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154.77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2101103</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公务员医疗补助</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90.20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90.20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90.20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90.20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90.20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2101199</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其他行政事业单位医疗支出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3.11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3.11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3.11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3.11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3.11</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住房保障支出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335.16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335.16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377.76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377.76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377.76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42.60</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12.71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12.71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22102</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住房改革支出</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335.16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335.16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377.76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377.76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377.76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42.60</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12.71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12.71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2210201</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住房公积金</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180.00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180.00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222.60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222.60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222.60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42.60</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23.67 </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42.60</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23.67 </w:t>
            </w:r>
          </w:p>
        </w:tc>
      </w:tr>
      <w:tr>
        <w:trPr>
          <w:trHeight w:val="374"/>
        </w:trPr>
        <w:tc>
          <w:tcPr>
            <w:tcW w:w="19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2210203</w:t>
            </w:r>
          </w:p>
        </w:tc>
        <w:tc>
          <w:tcPr>
            <w:tcW w:w="19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购房补贴</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155.16</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155.16</w:t>
            </w: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Calibri" w:eastAsia="Calibri" w:cs="宋体" w:hAnsi="Calibri"/>
                <w:b/>
                <w:i w:val="0"/>
                <w:color w:val="000000"/>
                <w:sz w:val="16"/>
              </w:rPr>
            </w:pP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r>
              <w:rPr>
                <w:rFonts w:ascii="宋体" w:eastAsia="宋体"/>
                <w:sz w:val="20"/>
              </w:rPr>
              <w:t xml:space="preserve">0.00 </w:t>
            </w: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Calibri" w:eastAsia="Calibri" w:cs="宋体" w:hAnsi="Calibri"/>
                <w:b/>
                <w:i w:val="0"/>
                <w:color w:val="000000"/>
                <w:sz w:val="16"/>
              </w:rPr>
            </w:pP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Calibri" w:eastAsia="Calibri" w:cs="宋体" w:hAnsi="Calibri"/>
                <w:b/>
                <w:i w:val="0"/>
                <w:color w:val="000000"/>
                <w:sz w:val="16"/>
              </w:rPr>
            </w:pPr>
          </w:p>
        </w:tc>
      </w:tr>
      <w:tr>
        <w:trPr>
          <w:trHeight w:val="373"/>
        </w:trPr>
        <w:tc>
          <w:tcPr>
            <w:tcW w:w="388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1"/>
              <w:jc w:val="center"/>
              <w:rPr>
                <w:rFonts w:ascii="宋体" w:eastAsia="宋体" w:cs="宋体"/>
                <w:sz w:val="20"/>
              </w:rPr>
            </w:pPr>
            <w:r>
              <w:rPr>
                <w:rFonts w:ascii="宋体" w:eastAsia="宋体" w:cs="宋体"/>
                <w:sz w:val="20"/>
              </w:rPr>
              <w:t>合计</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9"/>
              <w:jc w:val="right"/>
              <w:rPr>
                <w:rFonts w:ascii="宋体" w:eastAsia="宋体" w:cs="宋体"/>
                <w:sz w:val="20"/>
              </w:rPr>
            </w:pPr>
            <w:r>
              <w:rPr>
                <w:rFonts w:ascii="宋体" w:eastAsia="宋体" w:cs="宋体"/>
                <w:sz w:val="20"/>
              </w:rPr>
              <w:t>3,923.42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8"/>
              <w:jc w:val="right"/>
              <w:rPr>
                <w:rFonts w:ascii="宋体" w:eastAsia="宋体" w:cs="宋体"/>
                <w:sz w:val="20"/>
              </w:rPr>
            </w:pPr>
            <w:r>
              <w:rPr>
                <w:rFonts w:ascii="宋体" w:eastAsia="宋体" w:cs="宋体"/>
                <w:sz w:val="20"/>
              </w:rPr>
              <w:t>3,923.42</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7"/>
              <w:jc w:val="right"/>
              <w:rPr>
                <w:rFonts w:ascii="宋体" w:eastAsia="宋体" w:cs="宋体"/>
                <w:sz w:val="20"/>
              </w:rPr>
            </w:pPr>
            <w:r>
              <w:rPr>
                <w:rFonts w:ascii="宋体" w:eastAsia="宋体" w:cs="宋体"/>
                <w:sz w:val="20"/>
              </w:rPr>
              <w:t>4,193.87</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6"/>
              <w:jc w:val="right"/>
              <w:rPr>
                <w:rFonts w:ascii="宋体" w:eastAsia="宋体" w:cs="宋体"/>
                <w:sz w:val="20"/>
              </w:rPr>
            </w:pPr>
            <w:r>
              <w:rPr>
                <w:rFonts w:ascii="宋体" w:eastAsia="宋体" w:cs="宋体"/>
                <w:sz w:val="20"/>
              </w:rPr>
              <w:t>3,856.34</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5"/>
              <w:jc w:val="right"/>
              <w:rPr>
                <w:rFonts w:ascii="宋体" w:eastAsia="宋体" w:cs="宋体"/>
                <w:sz w:val="20"/>
              </w:rPr>
            </w:pPr>
            <w:r>
              <w:rPr>
                <w:rFonts w:ascii="宋体" w:eastAsia="宋体" w:cs="宋体"/>
                <w:sz w:val="20"/>
              </w:rPr>
              <w:t>337.53</w:t>
            </w:r>
          </w:p>
        </w:tc>
        <w:tc>
          <w:tcPr>
            <w:tcW w:w="10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4"/>
              <w:jc w:val="right"/>
              <w:rPr>
                <w:rFonts w:ascii="宋体" w:eastAsia="宋体" w:cs="宋体"/>
                <w:sz w:val="20"/>
              </w:rPr>
            </w:pPr>
            <w:r>
              <w:rPr>
                <w:rFonts w:ascii="宋体" w:eastAsia="宋体" w:cs="宋体"/>
                <w:sz w:val="20"/>
              </w:rPr>
              <w:t>4,193.87</w:t>
            </w: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4193"/>
              <w:jc w:val="right"/>
              <w:rPr>
                <w:rFonts w:ascii="宋体" w:eastAsia="宋体" w:cs="宋体"/>
                <w:sz w:val="20"/>
              </w:rPr>
            </w:pPr>
            <w:r>
              <w:rPr>
                <w:rFonts w:ascii="宋体" w:eastAsia="宋体" w:cs="宋体"/>
                <w:sz w:val="20"/>
              </w:rPr>
              <w:t>270.45</w:t>
            </w:r>
          </w:p>
        </w:tc>
        <w:tc>
          <w:tcPr>
            <w:tcW w:w="11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2"/>
              <w:jc w:val="right"/>
              <w:rPr>
                <w:rFonts w:ascii="宋体" w:eastAsia="宋体" w:cs="宋体"/>
                <w:sz w:val="20"/>
              </w:rPr>
            </w:pPr>
            <w:r>
              <w:rPr>
                <w:rFonts w:ascii="宋体" w:eastAsia="宋体" w:cs="宋体"/>
                <w:sz w:val="20"/>
              </w:rPr>
              <w:t>6.89</w:t>
            </w: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4191"/>
              <w:jc w:val="right"/>
              <w:rPr>
                <w:rFonts w:ascii="宋体" w:eastAsia="宋体" w:cs="宋体"/>
                <w:sz w:val="20"/>
              </w:rPr>
            </w:pPr>
            <w:r>
              <w:rPr>
                <w:rFonts w:ascii="宋体" w:eastAsia="宋体" w:cs="宋体"/>
                <w:sz w:val="20"/>
              </w:rPr>
              <w:t>270.45</w:t>
            </w:r>
          </w:p>
        </w:tc>
        <w:tc>
          <w:tcPr>
            <w:tcW w:w="1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4190"/>
              <w:jc w:val="right"/>
              <w:rPr>
                <w:rFonts w:ascii="宋体" w:eastAsia="宋体" w:cs="宋体"/>
                <w:sz w:val="20"/>
              </w:rPr>
            </w:pPr>
            <w:r>
              <w:rPr>
                <w:rFonts w:ascii="宋体" w:eastAsia="宋体" w:cs="宋体"/>
                <w:sz w:val="20"/>
              </w:rPr>
              <w:t>6.89</w:t>
            </w:r>
          </w:p>
        </w:tc>
      </w:tr>
    </w:tbl>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tbl>
      <w:tblPr>
        <w:jc w:val="left"/>
        <w:tblInd w:w="1144" w:type="dxa"/>
        <w:tblW w:w="854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10"/>
        <w:gridCol w:w="2835"/>
        <w:gridCol w:w="1410"/>
        <w:gridCol w:w="1785"/>
        <w:gridCol w:w="1395"/>
      </w:tblGrid>
      <w:tr>
        <w:trPr>
          <w:trHeight w:val="314"/>
        </w:trPr>
        <w:tc>
          <w:tcPr>
            <w:tcW w:w="7140" w:type="dxa"/>
            <w:gridSpan w:val="4"/>
            <w:tcBorders>
              <w:top w:val="nil"/>
              <w:left w:val="nil"/>
              <w:bottom w:val="nil"/>
              <w:right w:val="nil"/>
              <w:tl2br w:val="nil"/>
              <w:tr2bl w:val="nil"/>
            </w:tcBorders>
            <w:noWrap/>
            <w:vAlign w:val="center"/>
          </w:tcPr>
          <w:p>
            <w:pPr>
              <w:rPr>
                <w:rFonts w:ascii="宋体" w:eastAsia="宋体" w:cs="宋体"/>
                <w:sz w:val="16"/>
              </w:rPr>
            </w:pPr>
            <w:r>
              <w:rPr>
                <w:rFonts w:ascii="宋体" w:eastAsia="宋体" w:cs="宋体"/>
                <w:sz w:val="16"/>
              </w:rPr>
              <w:t>单位：中华人民共和国马尾海关</w:t>
            </w:r>
          </w:p>
        </w:tc>
        <w:tc>
          <w:tcPr>
            <w:tcW w:w="1395" w:type="dxa"/>
            <w:tcBorders>
              <w:top w:val="nil"/>
              <w:left w:val="nil"/>
              <w:bottom w:val="nil"/>
              <w:right w:val="nil"/>
              <w:tl2br w:val="nil"/>
              <w:tr2bl w:val="nil"/>
            </w:tcBorders>
            <w:noWrap/>
            <w:vAlign w:val="center"/>
          </w:tcPr>
          <w:p>
            <w:pPr>
              <w:jc w:val="right"/>
              <w:rPr>
                <w:rFonts w:ascii="宋体" w:eastAsia="宋体" w:cs="宋体"/>
                <w:color w:val="000000"/>
                <w:sz w:val="16"/>
              </w:rPr>
            </w:pPr>
            <w:r>
              <w:rPr>
                <w:rFonts w:ascii="宋体" w:eastAsia="宋体" w:cs="宋体"/>
                <w:color w:val="000000"/>
                <w:sz w:val="16"/>
              </w:rPr>
              <w:t>单位：万元</w:t>
            </w:r>
          </w:p>
        </w:tc>
      </w:tr>
      <w:tr>
        <w:trPr>
          <w:trHeight w:val="374"/>
        </w:trPr>
        <w:tc>
          <w:tcPr>
            <w:tcW w:w="394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部门预算支出经济分类科目</w:t>
            </w:r>
          </w:p>
        </w:tc>
        <w:tc>
          <w:tcPr>
            <w:tcW w:w="459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本年一般公共预算基本支出</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科目代码</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科目名称</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合计</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人员经费</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公用经费</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b/>
                <w:color w:val="000000"/>
                <w:sz w:val="16"/>
                <w:szCs w:val="16"/>
              </w:rPr>
            </w:pPr>
            <w:r>
              <w:rPr>
                <w:rFonts w:ascii="Times New Roman" w:cs="Times New Roman" w:hAnsi="Times New Roman"/>
                <w:b/>
                <w:color w:val="000000"/>
                <w:sz w:val="16"/>
                <w:szCs w:val="16"/>
              </w:rPr>
              <w:t>30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color w:val="000000"/>
                <w:sz w:val="16"/>
              </w:rPr>
            </w:pPr>
            <w:r>
              <w:rPr>
                <w:rFonts w:ascii="宋体" w:eastAsia="宋体" w:cs="宋体"/>
                <w:b/>
                <w:i w:val="0"/>
                <w:color w:val="000000"/>
                <w:sz w:val="16"/>
              </w:rPr>
              <w:t>工资福利支出</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r>
              <w:rPr>
                <w:rFonts w:ascii="Times New Roman" w:eastAsia="Times New Roman" w:cs="Times New Roman" w:hAnsi="Times New Roman"/>
                <w:b/>
                <w:i w:val="0"/>
                <w:color w:val="000000"/>
                <w:sz w:val="16"/>
              </w:rPr>
              <w:t>3,102.50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r>
              <w:rPr>
                <w:rFonts w:ascii="Times New Roman" w:eastAsia="Times New Roman" w:cs="Times New Roman" w:hAnsi="Times New Roman"/>
                <w:b/>
                <w:i w:val="0"/>
                <w:color w:val="000000"/>
                <w:sz w:val="16"/>
              </w:rPr>
              <w:t>3,102.50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基本工资</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748.51</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748.51</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津贴补贴</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1,375.98</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1,375.98</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奖金</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73.95</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73.95</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机关事业单位基本养老保险缴费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276.87</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276.87</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职业年金缴费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143.63</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143.63</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职工基本医疗保险缴费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154.77</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154.77</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公务员医疗补助缴费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90.20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90.20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其他社会保障缴费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3.11</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3.11</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住房公积金</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222.60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222.60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3019</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其他工资福利支出</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12.88</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12.88</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b/>
                <w:color w:val="000000"/>
                <w:sz w:val="16"/>
                <w:szCs w:val="16"/>
              </w:rPr>
            </w:pPr>
            <w:r>
              <w:rPr>
                <w:rFonts w:ascii="Times New Roman" w:cs="Times New Roman" w:hAnsi="Times New Roman"/>
                <w:b/>
                <w:color w:val="000000"/>
                <w:sz w:val="16"/>
                <w:szCs w:val="16"/>
              </w:rPr>
              <w:t>30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color w:val="000000"/>
                <w:sz w:val="16"/>
              </w:rPr>
            </w:pPr>
            <w:r>
              <w:rPr>
                <w:rFonts w:ascii="宋体" w:eastAsia="宋体" w:cs="宋体"/>
                <w:b/>
                <w:i w:val="0"/>
                <w:color w:val="000000"/>
                <w:sz w:val="16"/>
              </w:rPr>
              <w:t>商品和服务支出</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r>
              <w:rPr>
                <w:rFonts w:ascii="Times New Roman" w:eastAsia="Times New Roman" w:cs="Times New Roman" w:hAnsi="Times New Roman"/>
                <w:b/>
                <w:i w:val="0"/>
                <w:color w:val="000000"/>
                <w:sz w:val="16"/>
              </w:rPr>
              <w:t>731.14</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r>
              <w:rPr>
                <w:rFonts w:ascii="Times New Roman" w:eastAsia="Times New Roman" w:cs="Times New Roman" w:hAnsi="Times New Roman"/>
                <w:b/>
                <w:i w:val="0"/>
                <w:color w:val="000000"/>
                <w:sz w:val="16"/>
              </w:rPr>
              <w:t>731.14</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办公费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46.74</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46.74</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水费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4.44</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4.44</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电费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26.15</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26.15</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邮电费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39.45</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39.45</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物业管理费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65.15</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65.15</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差旅费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21.73</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21.73</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维修（护）费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44.10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44.10</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租赁费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3.49</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3.49</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培训费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0.41</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0.41</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公务接待费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0.20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0.20</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专用材料费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5.50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5.50</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3022</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劳务费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181.78</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181.78</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3022</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委托业务费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33.64</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33.64</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3022</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工会经费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38.09</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38.09</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3022</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福利费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63.87</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63.87</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3023</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公务用车运行维护费</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18.01</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18.01</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3023</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其他交通费用</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115.61</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115.61</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3029</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其他商品和服务支出</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22.78</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22.78</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b/>
                <w:color w:val="000000"/>
                <w:sz w:val="16"/>
                <w:szCs w:val="16"/>
              </w:rPr>
            </w:pPr>
            <w:r>
              <w:rPr>
                <w:rFonts w:ascii="Times New Roman" w:cs="Times New Roman" w:hAnsi="Times New Roman"/>
                <w:b/>
                <w:color w:val="000000"/>
                <w:sz w:val="16"/>
                <w:szCs w:val="16"/>
              </w:rPr>
              <w:t>31</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color w:val="000000"/>
                <w:sz w:val="16"/>
              </w:rPr>
            </w:pPr>
            <w:r>
              <w:rPr>
                <w:rFonts w:ascii="宋体" w:eastAsia="宋体" w:cs="宋体"/>
                <w:b/>
                <w:i w:val="0"/>
                <w:color w:val="000000"/>
                <w:sz w:val="16"/>
              </w:rPr>
              <w:t>资本性支出</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r>
              <w:rPr>
                <w:rFonts w:ascii="Times New Roman" w:eastAsia="Times New Roman" w:cs="Times New Roman" w:hAnsi="Times New Roman"/>
                <w:b/>
                <w:i w:val="0"/>
                <w:color w:val="000000"/>
                <w:sz w:val="16"/>
              </w:rPr>
              <w:t>22.70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color w:val="000000"/>
                <w:sz w:val="16"/>
              </w:rPr>
            </w:pPr>
            <w:r>
              <w:rPr>
                <w:rFonts w:ascii="Times New Roman" w:eastAsia="Times New Roman" w:cs="Times New Roman" w:hAnsi="Times New Roman"/>
                <w:b/>
                <w:i w:val="0"/>
                <w:color w:val="000000"/>
                <w:sz w:val="16"/>
              </w:rPr>
              <w:t>22.70</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cs="Times New Roman" w:hAnsi="Times New Roman"/>
                <w:color w:val="000000"/>
                <w:sz w:val="16"/>
                <w:szCs w:val="16"/>
              </w:rPr>
            </w:pPr>
            <w:r>
              <w:rPr>
                <w:rFonts w:ascii="Times New Roman" w:cs="Times New Roman" w:hAnsi="Times New Roman"/>
                <w:color w:val="000000"/>
                <w:sz w:val="16"/>
                <w:szCs w:val="16"/>
              </w:rPr>
              <w:t>3100</w:t>
            </w: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办公设备购置</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22.70</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color w:val="000000"/>
                <w:sz w:val="16"/>
              </w:rPr>
            </w:pPr>
            <w:r>
              <w:rPr>
                <w:rFonts w:ascii="Times New Roman" w:eastAsia="Times New Roman" w:cs="Times New Roman" w:hAnsi="Times New Roman"/>
                <w:color w:val="000000"/>
                <w:sz w:val="16"/>
              </w:rPr>
              <w:t>22.70</w:t>
            </w:r>
          </w:p>
        </w:tc>
      </w:tr>
      <w:tr>
        <w:trPr>
          <w:trHeight w:val="374"/>
        </w:trPr>
        <w:tc>
          <w:tcPr>
            <w:tcW w:w="11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8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b/>
                <w:i w:val="0"/>
                <w:sz w:val="16"/>
              </w:rPr>
            </w:pPr>
            <w:r>
              <w:rPr>
                <w:rFonts w:ascii="宋体" w:eastAsia="宋体" w:cs="宋体"/>
                <w:b/>
                <w:i w:val="0"/>
                <w:sz w:val="16"/>
              </w:rPr>
              <w:t>合        计</w:t>
            </w:r>
          </w:p>
        </w:tc>
        <w:tc>
          <w:tcPr>
            <w:tcW w:w="14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sz w:val="16"/>
              </w:rPr>
            </w:pPr>
            <w:r>
              <w:rPr>
                <w:rFonts w:ascii="Times New Roman" w:eastAsia="Times New Roman" w:cs="Times New Roman" w:hAnsi="Times New Roman"/>
                <w:b/>
                <w:i w:val="0"/>
                <w:sz w:val="16"/>
              </w:rPr>
              <w:t>3,856.34</w:t>
            </w:r>
          </w:p>
        </w:tc>
        <w:tc>
          <w:tcPr>
            <w:tcW w:w="1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sz w:val="16"/>
              </w:rPr>
            </w:pPr>
            <w:r>
              <w:rPr>
                <w:rFonts w:ascii="Times New Roman" w:eastAsia="Times New Roman" w:cs="Times New Roman" w:hAnsi="Times New Roman"/>
                <w:b/>
                <w:i w:val="0"/>
                <w:sz w:val="16"/>
              </w:rPr>
              <w:t>3,102.50</w:t>
            </w:r>
          </w:p>
        </w:tc>
        <w:tc>
          <w:tcPr>
            <w:tcW w:w="13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Times New Roman" w:cs="Times New Roman" w:hAnsi="Times New Roman"/>
                <w:b/>
                <w:i w:val="0"/>
                <w:sz w:val="16"/>
              </w:rPr>
            </w:pPr>
            <w:r>
              <w:rPr>
                <w:rFonts w:ascii="Times New Roman" w:eastAsia="Times New Roman" w:cs="Times New Roman" w:hAnsi="Times New Roman"/>
                <w:b/>
                <w:i w:val="0"/>
                <w:sz w:val="16"/>
              </w:rPr>
              <w:t>753.84</w:t>
            </w:r>
          </w:p>
        </w:tc>
      </w:tr>
    </w:tbl>
    <w:p/>
    <w:p>
      <w:pPr>
        <w:pStyle w:val="2325"/>
        <w:rPr>
          <w:rFonts w:ascii="Times New Roman" w:eastAsia="宋体" w:hAnsi="Times New Roman"/>
        </w:rPr>
        <w:sectPr>
          <w:pgSz w:w="11907" w:h="16841"/>
          <w:pgMar w:top="1427"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马尾海关</w:t>
      </w:r>
      <w:r>
        <w:rPr>
          <w:rFonts w:ascii="方正仿宋_GBK" w:eastAsia="方正仿宋_GBK" w:cs="方正仿宋_GBK" w:hint="eastAsia"/>
          <w:spacing w:val="-1"/>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1"/>
          <w:sz w:val="24"/>
          <w:szCs w:val="24"/>
        </w:rPr>
        <w:t>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马尾</w:t>
      </w:r>
      <w:r>
        <w:rPr>
          <w:rFonts w:ascii="方正仿宋_GBK" w:eastAsia="方正仿宋_GBK" w:cs="方正仿宋_GBK" w:hint="eastAsia"/>
          <w:spacing w:val="-6"/>
          <w:sz w:val="24"/>
          <w:szCs w:val="24"/>
        </w:rPr>
        <w:t>海关无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line="20" w:lineRule="exact"/>
        <w:rPr>
          <w:rFonts w:ascii="Times New Roman" w:eastAsia="宋体" w:hAnsi="Times New Roman"/>
        </w:rPr>
      </w:pPr>
    </w:p>
    <w:tbl>
      <w:tblPr>
        <w:tblpPr w:leftFromText="180" w:rightFromText="180" w:vertAnchor="text" w:horzAnchor="page" w:tblpX="2226" w:tblpY="596"/>
        <w:tblOverlap w:val="never"/>
        <w:tblW w:w="1280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307"/>
        <w:gridCol w:w="2205"/>
        <w:gridCol w:w="1470"/>
        <w:gridCol w:w="2100"/>
        <w:gridCol w:w="2625"/>
        <w:gridCol w:w="2100"/>
      </w:tblGrid>
      <w:tr>
        <w:trPr>
          <w:trHeight w:val="389"/>
        </w:trPr>
        <w:tc>
          <w:tcPr>
            <w:tcW w:w="10707" w:type="dxa"/>
            <w:gridSpan w:val="5"/>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单位：中华人民共和国马尾海关</w:t>
            </w:r>
          </w:p>
        </w:tc>
        <w:tc>
          <w:tcPr>
            <w:tcW w:w="2100" w:type="dxa"/>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单位：万元</w:t>
            </w:r>
          </w:p>
        </w:tc>
      </w:tr>
      <w:tr>
        <w:trPr>
          <w:trHeight w:val="419"/>
        </w:trPr>
        <w:tc>
          <w:tcPr>
            <w:tcW w:w="2307"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“三公”经费合计</w:t>
            </w:r>
          </w:p>
        </w:tc>
        <w:tc>
          <w:tcPr>
            <w:tcW w:w="220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因公出国（境）费</w:t>
            </w:r>
          </w:p>
        </w:tc>
        <w:tc>
          <w:tcPr>
            <w:tcW w:w="6195"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公务用车购置及运行费</w:t>
            </w:r>
          </w:p>
        </w:tc>
        <w:tc>
          <w:tcPr>
            <w:tcW w:w="210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公务接待费</w:t>
            </w:r>
          </w:p>
        </w:tc>
      </w:tr>
      <w:tr>
        <w:trPr>
          <w:trHeight w:val="419"/>
        </w:trPr>
        <w:tc>
          <w:tcPr>
            <w:tcW w:w="2307"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20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4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小计</w:t>
            </w:r>
          </w:p>
        </w:tc>
        <w:tc>
          <w:tcPr>
            <w:tcW w:w="21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公务用车购置费</w:t>
            </w:r>
          </w:p>
        </w:tc>
        <w:tc>
          <w:tcPr>
            <w:tcW w:w="26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公务用车运行费</w:t>
            </w:r>
          </w:p>
        </w:tc>
        <w:tc>
          <w:tcPr>
            <w:tcW w:w="4123"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23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微软雅黑" w:eastAsia="微软雅黑" w:cs="宋体"/>
                <w:color w:val="000000"/>
                <w:sz w:val="20"/>
              </w:rPr>
            </w:pPr>
            <w:r>
              <w:rPr>
                <w:rFonts w:ascii="微软雅黑" w:eastAsia="微软雅黑" w:cs="宋体"/>
                <w:color w:val="000000"/>
                <w:sz w:val="20"/>
              </w:rPr>
              <w:t>103.90</w:t>
            </w:r>
          </w:p>
        </w:tc>
        <w:tc>
          <w:tcPr>
            <w:tcW w:w="22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cs="宋体" w:hAnsi="Arial"/>
                <w:color w:val="000000"/>
                <w:sz w:val="20"/>
              </w:rPr>
            </w:pPr>
          </w:p>
        </w:tc>
        <w:tc>
          <w:tcPr>
            <w:tcW w:w="14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cs="宋体" w:hAnsi="Arial"/>
                <w:color w:val="000000"/>
                <w:sz w:val="20"/>
              </w:rPr>
            </w:pPr>
            <w:r>
              <w:rPr>
                <w:rFonts w:ascii="Arial" w:eastAsia="Arial" w:cs="宋体" w:hAnsi="Arial"/>
                <w:color w:val="000000"/>
                <w:sz w:val="20"/>
              </w:rPr>
              <w:t>103.70</w:t>
            </w:r>
          </w:p>
        </w:tc>
        <w:tc>
          <w:tcPr>
            <w:tcW w:w="21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cs="宋体" w:hAnsi="Arial"/>
                <w:color w:val="000000"/>
                <w:sz w:val="20"/>
              </w:rPr>
            </w:pPr>
            <w:r>
              <w:rPr>
                <w:rFonts w:ascii="Arial" w:eastAsia="Arial" w:cs="宋体" w:hAnsi="Arial"/>
                <w:color w:val="000000"/>
                <w:sz w:val="20"/>
              </w:rPr>
              <w:t>49.50</w:t>
            </w:r>
          </w:p>
        </w:tc>
        <w:tc>
          <w:tcPr>
            <w:tcW w:w="26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微软雅黑" w:eastAsia="微软雅黑" w:cs="宋体"/>
                <w:color w:val="000000"/>
                <w:sz w:val="20"/>
              </w:rPr>
            </w:pPr>
            <w:r>
              <w:rPr>
                <w:rFonts w:ascii="微软雅黑" w:eastAsia="微软雅黑" w:cs="宋体"/>
                <w:color w:val="000000"/>
                <w:sz w:val="20"/>
              </w:rPr>
              <w:t>54.20</w:t>
            </w:r>
          </w:p>
        </w:tc>
        <w:tc>
          <w:tcPr>
            <w:tcW w:w="21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cs="宋体" w:hAnsi="Arial"/>
                <w:color w:val="000000"/>
                <w:sz w:val="20"/>
              </w:rPr>
            </w:pPr>
            <w:r>
              <w:rPr>
                <w:rFonts w:ascii="Arial" w:eastAsia="Arial" w:cs="宋体" w:hAnsi="Arial"/>
                <w:color w:val="000000"/>
                <w:sz w:val="20"/>
              </w:rPr>
              <w:t>0.20</w:t>
            </w: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b/>
          <w:sz w:val="84"/>
          <w:szCs w:val="84"/>
        </w:rPr>
        <w:t>马尾</w:t>
      </w:r>
      <w:r>
        <w:rPr>
          <w:rFonts w:hint="eastAsia"/>
          <w:b/>
          <w:sz w:val="84"/>
          <w:szCs w:val="84"/>
        </w:rPr>
        <w:t>海关</w:t>
      </w:r>
      <w:r>
        <w:rPr>
          <w:b/>
          <w:sz w:val="84"/>
          <w:szCs w:val="84"/>
        </w:rPr>
        <w:t>2025</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一、关于马尾</w:t>
      </w:r>
      <w:r>
        <w:rPr>
          <w:rFonts w:eastAsia="方正黑体_GBK" w:hint="eastAsia"/>
          <w:sz w:val="32"/>
          <w:szCs w:val="32"/>
        </w:rPr>
        <w:t>海关</w:t>
      </w:r>
      <w:r>
        <w:rPr>
          <w:rFonts w:eastAsia="方正黑体_GBK"/>
          <w:sz w:val="32"/>
          <w:szCs w:val="32"/>
        </w:rPr>
        <w:t>2025年收支预算情况的总体说明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马尾海关所有收入和支出均纳入部门预算管理。收入包括：一般公共预算拨款收入、其他收入、上年结转；支出包括：一般公共服务支出、公共安全支出、社会保障和就业支出、卫生健康支出、住房保障支出。马尾海关2025年收支总预算6739.48 万元。</w:t>
      </w:r>
    </w:p>
    <w:p>
      <w:pPr>
        <w:pStyle w:val="30"/>
        <w:spacing w:line="560" w:lineRule="exact"/>
        <w:ind w:firstLineChars="200" w:firstLine="640"/>
        <w:rPr>
          <w:rFonts w:eastAsia="方正黑体_GBK"/>
          <w:sz w:val="32"/>
          <w:szCs w:val="32"/>
        </w:rPr>
      </w:pPr>
      <w:r>
        <w:rPr>
          <w:rFonts w:eastAsia="方正黑体_GBK"/>
          <w:sz w:val="32"/>
          <w:szCs w:val="32"/>
        </w:rPr>
        <w:t>二、关于马尾</w:t>
      </w:r>
      <w:r>
        <w:rPr>
          <w:rFonts w:eastAsia="方正黑体_GBK" w:hint="eastAsia"/>
          <w:sz w:val="32"/>
          <w:szCs w:val="32"/>
        </w:rPr>
        <w:t>海关</w:t>
      </w:r>
      <w:r>
        <w:rPr>
          <w:rFonts w:eastAsia="方正黑体_GBK"/>
          <w:sz w:val="32"/>
          <w:szCs w:val="32"/>
        </w:rPr>
        <w:t>2025年收入预算情况说明</w:t>
      </w:r>
    </w:p>
    <w:p>
      <w:pPr>
        <w:pStyle w:val="30"/>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w:t>
      </w:r>
      <w:r>
        <w:rPr>
          <w:rFonts w:eastAsia="方正仿宋_GBK"/>
          <w:sz w:val="32"/>
          <w:szCs w:val="32"/>
        </w:rPr>
        <w:t>2025年收入预算6739.48万元，其中：上年结转 545.61万元，占8.1</w:t>
      </w:r>
      <w:r>
        <w:rPr>
          <w:rFonts w:eastAsia="方正仿宋_GBK" w:hint="eastAsia"/>
          <w:sz w:val="32"/>
          <w:szCs w:val="32"/>
        </w:rPr>
        <w:t>%</w:t>
      </w:r>
      <w:r>
        <w:rPr>
          <w:rFonts w:eastAsia="方正仿宋_GBK"/>
          <w:sz w:val="32"/>
          <w:szCs w:val="32"/>
        </w:rPr>
        <w:t>；一般公共预算财政拨款4193.87万元，占62.23</w:t>
      </w:r>
      <w:r>
        <w:rPr>
          <w:rFonts w:eastAsia="方正仿宋_GBK" w:hint="eastAsia"/>
          <w:sz w:val="32"/>
          <w:szCs w:val="32"/>
        </w:rPr>
        <w:t>%</w:t>
      </w:r>
      <w:r>
        <w:rPr>
          <w:rFonts w:eastAsia="方正仿宋_GBK"/>
          <w:sz w:val="32"/>
          <w:szCs w:val="32"/>
        </w:rPr>
        <w:t>；其他收入2000万元，占29.68</w:t>
      </w:r>
      <w:r>
        <w:rPr>
          <w:rFonts w:eastAsia="方正仿宋_GBK" w:hint="eastAsia"/>
          <w:sz w:val="32"/>
          <w:szCs w:val="32"/>
        </w:rPr>
        <w:t>%</w:t>
      </w:r>
      <w:r>
        <w:rPr>
          <w:rFonts w:eastAsia="方正仿宋_GBK"/>
          <w:sz w:val="32"/>
          <w:szCs w:val="32"/>
        </w:rPr>
        <w:t>。</w:t>
      </w:r>
    </w:p>
    <w:p>
      <w:pPr>
        <w:pStyle w:val="30"/>
        <w:ind w:firstLine="646"/>
        <w:jc w:val="center"/>
      </w:pPr>
      <w:r>
        <w:drawing>
          <wp:inline distT="0" distB="0" distL="85723" distR="85723">
            <wp:extent cx="4571929" cy="2743157"/>
            <wp:effectExtent l="0" t="0" r="0" b="0"/>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w:t>
      </w:r>
      <w:r>
        <w:rPr>
          <w:rFonts w:eastAsia="方正黑体_GBK"/>
          <w:sz w:val="32"/>
          <w:szCs w:val="32"/>
        </w:rPr>
        <w:t>于马尾</w:t>
      </w:r>
      <w:r>
        <w:rPr>
          <w:rFonts w:eastAsia="方正黑体_GBK" w:hint="eastAsia"/>
          <w:sz w:val="32"/>
          <w:szCs w:val="32"/>
        </w:rPr>
        <w:t>海关</w:t>
      </w:r>
      <w:r>
        <w:rPr>
          <w:rFonts w:eastAsia="方正黑体_GBK"/>
          <w:sz w:val="32"/>
          <w:szCs w:val="32"/>
        </w:rPr>
        <w:t>2025</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w:t>
      </w:r>
      <w:r>
        <w:rPr>
          <w:rFonts w:eastAsia="方正仿宋_GBK"/>
          <w:sz w:val="32"/>
          <w:szCs w:val="32"/>
        </w:rPr>
        <w:t>2025</w:t>
      </w:r>
      <w:r>
        <w:rPr>
          <w:rFonts w:eastAsia="方正仿宋_GBK" w:hint="eastAsia"/>
          <w:sz w:val="32"/>
          <w:szCs w:val="32"/>
        </w:rPr>
        <w:t>年支出预算</w:t>
      </w:r>
      <w:r>
        <w:rPr>
          <w:rFonts w:eastAsia="方正仿宋_GBK"/>
          <w:sz w:val="32"/>
          <w:szCs w:val="32"/>
        </w:rPr>
        <w:t>6739.48</w:t>
      </w:r>
      <w:r>
        <w:rPr>
          <w:rFonts w:eastAsia="方正仿宋_GBK" w:hint="eastAsia"/>
          <w:sz w:val="32"/>
          <w:szCs w:val="32"/>
        </w:rPr>
        <w:t>万元，其中：基本支出</w:t>
      </w:r>
      <w:r>
        <w:rPr>
          <w:rFonts w:eastAsia="方正仿宋_GBK"/>
          <w:sz w:val="32"/>
          <w:szCs w:val="32"/>
        </w:rPr>
        <w:t>6401.95</w:t>
      </w:r>
      <w:r>
        <w:rPr>
          <w:rFonts w:eastAsia="方正仿宋_GBK" w:hint="eastAsia"/>
          <w:sz w:val="32"/>
          <w:szCs w:val="32"/>
        </w:rPr>
        <w:t>万元，占</w:t>
      </w:r>
      <w:r>
        <w:rPr>
          <w:rFonts w:eastAsia="方正仿宋_GBK"/>
          <w:sz w:val="32"/>
          <w:szCs w:val="32"/>
        </w:rPr>
        <w:t>94.99</w:t>
      </w:r>
      <w:r>
        <w:rPr>
          <w:rFonts w:eastAsia="方正仿宋_GBK" w:hint="eastAsia"/>
          <w:sz w:val="32"/>
          <w:szCs w:val="32"/>
        </w:rPr>
        <w:t>%；项目支出</w:t>
      </w:r>
      <w:r>
        <w:rPr>
          <w:rFonts w:eastAsia="方正仿宋_GBK"/>
          <w:sz w:val="32"/>
          <w:szCs w:val="32"/>
        </w:rPr>
        <w:t>337.53</w:t>
      </w:r>
      <w:r>
        <w:rPr>
          <w:rFonts w:eastAsia="方正仿宋_GBK" w:hint="eastAsia"/>
          <w:sz w:val="32"/>
          <w:szCs w:val="32"/>
        </w:rPr>
        <w:t>万元，占</w:t>
      </w:r>
      <w:r>
        <w:rPr>
          <w:rFonts w:eastAsia="方正仿宋_GBK"/>
          <w:sz w:val="32"/>
          <w:szCs w:val="32"/>
        </w:rPr>
        <w:t>5.01</w:t>
      </w:r>
      <w:r>
        <w:rPr>
          <w:rFonts w:eastAsia="方正仿宋_GBK" w:hint="eastAsia"/>
          <w:sz w:val="32"/>
          <w:szCs w:val="32"/>
        </w:rPr>
        <w:t>%。</w:t>
      </w:r>
    </w:p>
    <w:p>
      <w:pPr>
        <w:pStyle w:val="30"/>
        <w:spacing w:line="560" w:lineRule="exact"/>
        <w:ind w:firstLineChars="200" w:firstLine="640"/>
        <w:rPr>
          <w:rFonts w:eastAsia="方正仿宋_GBK"/>
          <w:sz w:val="32"/>
          <w:szCs w:val="32"/>
        </w:rPr>
      </w:pPr>
    </w:p>
    <w:p>
      <w:pPr>
        <w:pStyle w:val="30"/>
        <w:ind w:firstLineChars="200" w:firstLine="640"/>
        <w:jc w:val="center"/>
        <w:rPr>
          <w:sz w:val="32"/>
          <w:szCs w:val="32"/>
        </w:rPr>
      </w:pPr>
      <w:r>
        <w:rPr>
          <w:sz w:val="32"/>
          <w:szCs w:val="32"/>
        </w:rPr>
        <w:drawing>
          <wp:inline distT="0" distB="0" distL="85723" distR="85723">
            <wp:extent cx="4571929" cy="2743157"/>
            <wp:effectExtent l="0" t="0" r="0" b="0"/>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571929" cy="2743157"/>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马尾</w:t>
      </w:r>
      <w:r>
        <w:rPr>
          <w:rFonts w:eastAsia="方正黑体_GBK" w:hint="eastAsia"/>
          <w:sz w:val="32"/>
          <w:szCs w:val="32"/>
        </w:rPr>
        <w:t>海关202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5</w:t>
      </w:r>
      <w:r>
        <w:rPr>
          <w:rFonts w:eastAsia="方正仿宋_GBK" w:hint="eastAsia"/>
          <w:sz w:val="32"/>
          <w:szCs w:val="32"/>
        </w:rPr>
        <w:t>年财政拨款收支总预算</w:t>
      </w:r>
      <w:r>
        <w:rPr>
          <w:rFonts w:eastAsia="方正仿宋_GBK"/>
          <w:sz w:val="32"/>
          <w:szCs w:val="32"/>
        </w:rPr>
        <w:t>4197.81</w:t>
      </w:r>
      <w:r>
        <w:rPr>
          <w:rFonts w:eastAsia="方正仿宋_GBK" w:hint="eastAsia"/>
          <w:sz w:val="32"/>
          <w:szCs w:val="32"/>
        </w:rPr>
        <w:t>万元。收入包括：一般公共预算当年财政拨款收入</w:t>
      </w:r>
      <w:r>
        <w:rPr>
          <w:rFonts w:eastAsia="方正仿宋_GBK"/>
          <w:sz w:val="32"/>
          <w:szCs w:val="32"/>
        </w:rPr>
        <w:t>4193.87万</w:t>
      </w:r>
      <w:r>
        <w:rPr>
          <w:rFonts w:eastAsia="方正仿宋_GBK" w:hint="eastAsia"/>
          <w:sz w:val="32"/>
          <w:szCs w:val="32"/>
        </w:rPr>
        <w:t>元、上年结转</w:t>
      </w:r>
      <w:r>
        <w:rPr>
          <w:rFonts w:eastAsia="方正仿宋_GBK"/>
          <w:sz w:val="32"/>
          <w:szCs w:val="32"/>
        </w:rPr>
        <w:t>3.94</w:t>
      </w:r>
      <w:r>
        <w:rPr>
          <w:rFonts w:eastAsia="方正仿宋_GBK" w:hint="eastAsia"/>
          <w:sz w:val="32"/>
          <w:szCs w:val="32"/>
        </w:rPr>
        <w:t>万元。支出包括：一般</w:t>
      </w:r>
      <w:r>
        <w:rPr>
          <w:rFonts w:eastAsia="方正仿宋_GBK"/>
          <w:sz w:val="32"/>
          <w:szCs w:val="32"/>
        </w:rPr>
        <w:t>公共预算支出4197.81</w:t>
      </w:r>
      <w:r>
        <w:rPr>
          <w:rFonts w:eastAsia="方正仿宋_GBK" w:hint="eastAsia"/>
          <w:sz w:val="32"/>
          <w:szCs w:val="32"/>
        </w:rPr>
        <w:t>万元</w:t>
      </w:r>
      <w:r>
        <w:rPr>
          <w:rFonts w:eastAsia="方正仿宋_GBK"/>
          <w:sz w:val="32"/>
          <w:szCs w:val="32"/>
        </w:rPr>
        <w:t>，其中</w:t>
      </w:r>
      <w:r>
        <w:rPr>
          <w:rFonts w:eastAsia="方正仿宋_GBK" w:hint="eastAsia"/>
          <w:sz w:val="32"/>
          <w:szCs w:val="32"/>
        </w:rPr>
        <w:t>一般公共服务支出</w:t>
      </w:r>
      <w:r>
        <w:rPr>
          <w:rFonts w:eastAsia="方正仿宋_GBK"/>
          <w:sz w:val="32"/>
          <w:szCs w:val="32"/>
        </w:rPr>
        <w:t>2683.64</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63.93</w:t>
      </w:r>
      <w:r>
        <w:rPr>
          <w:rFonts w:eastAsia="方正仿宋_GBK" w:hint="eastAsia"/>
          <w:sz w:val="32"/>
          <w:szCs w:val="32"/>
        </w:rPr>
        <w:t>%；公共安全支出</w:t>
      </w:r>
      <w:r>
        <w:rPr>
          <w:rFonts w:eastAsia="方正仿宋_GBK"/>
          <w:sz w:val="32"/>
          <w:szCs w:val="32"/>
        </w:rPr>
        <w:t>463.71</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11.05</w:t>
      </w:r>
      <w:r>
        <w:rPr>
          <w:rFonts w:eastAsia="方正仿宋_GBK" w:hint="eastAsia"/>
          <w:sz w:val="32"/>
          <w:szCs w:val="32"/>
        </w:rPr>
        <w:t>%；社会保障和就业支出</w:t>
      </w:r>
      <w:r>
        <w:rPr>
          <w:rFonts w:eastAsia="方正仿宋_GBK"/>
          <w:sz w:val="32"/>
          <w:szCs w:val="32"/>
        </w:rPr>
        <w:t>424.62</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10.12</w:t>
      </w:r>
      <w:r>
        <w:rPr>
          <w:rFonts w:eastAsia="方正仿宋_GBK" w:hint="eastAsia"/>
          <w:sz w:val="32"/>
          <w:szCs w:val="32"/>
        </w:rPr>
        <w:t>%；卫生健康支出</w:t>
      </w:r>
      <w:r>
        <w:rPr>
          <w:rFonts w:eastAsia="方正仿宋_GBK"/>
          <w:sz w:val="32"/>
          <w:szCs w:val="32"/>
        </w:rPr>
        <w:t>248.08</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5.91</w:t>
      </w:r>
      <w:r>
        <w:rPr>
          <w:rFonts w:eastAsia="方正仿宋_GBK" w:hint="eastAsia"/>
          <w:sz w:val="32"/>
          <w:szCs w:val="32"/>
        </w:rPr>
        <w:t>%；住房保障支出</w:t>
      </w:r>
      <w:r>
        <w:rPr>
          <w:rFonts w:eastAsia="方正仿宋_GBK"/>
          <w:sz w:val="32"/>
          <w:szCs w:val="32"/>
        </w:rPr>
        <w:t>377.76</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9</w:t>
      </w:r>
      <w:r>
        <w:rPr>
          <w:rFonts w:eastAsia="方正仿宋_GBK" w:hint="eastAsia"/>
          <w:sz w:val="32"/>
          <w:szCs w:val="32"/>
        </w:rPr>
        <w:t xml:space="preserve"> %。</w:t>
      </w:r>
    </w:p>
    <w:p>
      <w:pPr>
        <w:jc w:val="center"/>
        <w:rPr>
          <w:sz w:val="32"/>
          <w:szCs w:val="32"/>
        </w:rPr>
      </w:pPr>
      <w:r>
        <w:drawing>
          <wp:inline distT="0" distB="0" distL="85723" distR="85723">
            <wp:extent cx="4571929" cy="2743157"/>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8"/>
                    <a:stretch>
                      <a:fillRect/>
                    </a:stretch>
                  </pic:blipFill>
                  <pic:spPr>
                    <a:xfrm rot="0">
                      <a:off x="0" y="0"/>
                      <a:ext cx="4571929" cy="2743157"/>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sz w:val="32"/>
          <w:szCs w:val="32"/>
        </w:rPr>
        <w:t>马尾</w:t>
      </w:r>
      <w:r>
        <w:rPr>
          <w:rFonts w:eastAsia="方正黑体_GBK" w:hint="eastAsia"/>
          <w:sz w:val="32"/>
          <w:szCs w:val="32"/>
        </w:rPr>
        <w:t>海关202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5</w:t>
      </w:r>
      <w:r>
        <w:rPr>
          <w:rFonts w:eastAsia="方正仿宋_GBK" w:hint="eastAsia"/>
          <w:sz w:val="32"/>
          <w:szCs w:val="32"/>
        </w:rPr>
        <w:t>年一般公共预算当年财政拨款预算</w:t>
      </w:r>
      <w:r>
        <w:rPr>
          <w:rFonts w:eastAsia="方正仿宋_GBK"/>
          <w:sz w:val="32"/>
          <w:szCs w:val="32"/>
        </w:rPr>
        <w:t>4193.87</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270.45</w:t>
      </w:r>
      <w:r>
        <w:rPr>
          <w:rFonts w:eastAsia="方正仿宋_GBK" w:hint="eastAsia"/>
          <w:sz w:val="32"/>
          <w:szCs w:val="32"/>
        </w:rPr>
        <w:t>万元，增长</w:t>
      </w:r>
      <w:r>
        <w:rPr>
          <w:rFonts w:eastAsia="方正仿宋_GBK"/>
          <w:sz w:val="32"/>
          <w:szCs w:val="32"/>
        </w:rPr>
        <w:t>6.89</w:t>
      </w:r>
      <w:r>
        <w:rPr>
          <w:rFonts w:eastAsia="方正仿宋_GBK" w:hint="eastAsia"/>
          <w:sz w:val="32"/>
          <w:szCs w:val="32"/>
        </w:rPr>
        <w:t>%。按照党中央、国务院关于过紧日子的有关要求，厉行节约，严控一般性支出。同时坚持有保有压，优化支出结构，合理保障海关</w:t>
      </w:r>
      <w:r>
        <w:rPr>
          <w:rFonts w:eastAsia="方正仿宋_GBK"/>
          <w:sz w:val="32"/>
          <w:szCs w:val="32"/>
        </w:rPr>
        <w:t>查验、检验等</w:t>
      </w:r>
      <w:r>
        <w:rPr>
          <w:rFonts w:eastAsia="方正仿宋_GBK" w:hint="eastAsia"/>
          <w:sz w:val="32"/>
          <w:szCs w:val="32"/>
        </w:rPr>
        <w:t>业务工作、</w:t>
      </w:r>
      <w:r>
        <w:rPr>
          <w:rFonts w:eastAsia="方正仿宋_GBK"/>
          <w:sz w:val="32"/>
          <w:szCs w:val="32"/>
        </w:rPr>
        <w:t>专用设备购置</w:t>
      </w:r>
      <w:r>
        <w:rPr>
          <w:rFonts w:eastAsia="方正仿宋_GBK" w:hint="eastAsia"/>
          <w:sz w:val="32"/>
          <w:szCs w:val="32"/>
        </w:rPr>
        <w:t>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2679.7</w:t>
      </w:r>
      <w:r>
        <w:rPr>
          <w:rFonts w:eastAsia="方正仿宋_GBK" w:hint="eastAsia"/>
          <w:sz w:val="32"/>
          <w:szCs w:val="32"/>
        </w:rPr>
        <w:t>万元，占</w:t>
      </w:r>
      <w:r>
        <w:rPr>
          <w:rFonts w:eastAsia="方正仿宋_GBK"/>
          <w:sz w:val="32"/>
          <w:szCs w:val="32"/>
        </w:rPr>
        <w:t>63.9</w:t>
      </w:r>
      <w:r>
        <w:rPr>
          <w:rFonts w:eastAsia="方正仿宋_GBK" w:hint="eastAsia"/>
          <w:sz w:val="32"/>
          <w:szCs w:val="32"/>
        </w:rPr>
        <w:t>%；公共安全（类）支出</w:t>
      </w:r>
      <w:r>
        <w:rPr>
          <w:rFonts w:eastAsia="方正仿宋_GBK"/>
          <w:sz w:val="32"/>
          <w:szCs w:val="32"/>
        </w:rPr>
        <w:t>463.71</w:t>
      </w:r>
      <w:r>
        <w:rPr>
          <w:rFonts w:eastAsia="方正仿宋_GBK" w:hint="eastAsia"/>
          <w:sz w:val="32"/>
          <w:szCs w:val="32"/>
        </w:rPr>
        <w:t>万元，占</w:t>
      </w:r>
      <w:r>
        <w:rPr>
          <w:rFonts w:eastAsia="方正仿宋_GBK"/>
          <w:sz w:val="32"/>
          <w:szCs w:val="32"/>
        </w:rPr>
        <w:t>11.06</w:t>
      </w:r>
      <w:r>
        <w:rPr>
          <w:rFonts w:eastAsia="方正仿宋_GBK" w:hint="eastAsia"/>
          <w:sz w:val="32"/>
          <w:szCs w:val="32"/>
        </w:rPr>
        <w:t>%；社会保障和就业（类）支出</w:t>
      </w:r>
      <w:r>
        <w:rPr>
          <w:rFonts w:eastAsia="方正仿宋_GBK"/>
          <w:sz w:val="32"/>
          <w:szCs w:val="32"/>
        </w:rPr>
        <w:t>424.62</w:t>
      </w:r>
      <w:r>
        <w:rPr>
          <w:rFonts w:eastAsia="方正仿宋_GBK" w:hint="eastAsia"/>
          <w:sz w:val="32"/>
          <w:szCs w:val="32"/>
        </w:rPr>
        <w:t>万元，占</w:t>
      </w:r>
      <w:r>
        <w:rPr>
          <w:rFonts w:eastAsia="方正仿宋_GBK"/>
          <w:sz w:val="32"/>
          <w:szCs w:val="32"/>
        </w:rPr>
        <w:t>10.12</w:t>
      </w:r>
      <w:r>
        <w:rPr>
          <w:rFonts w:eastAsia="方正仿宋_GBK" w:hint="eastAsia"/>
          <w:sz w:val="32"/>
          <w:szCs w:val="32"/>
        </w:rPr>
        <w:t>%；卫生健康（类）支出</w:t>
      </w:r>
      <w:r>
        <w:rPr>
          <w:rFonts w:eastAsia="方正仿宋_GBK"/>
          <w:sz w:val="32"/>
          <w:szCs w:val="32"/>
        </w:rPr>
        <w:t>248.08</w:t>
      </w:r>
      <w:r>
        <w:rPr>
          <w:rFonts w:eastAsia="方正仿宋_GBK" w:hint="eastAsia"/>
          <w:sz w:val="32"/>
          <w:szCs w:val="32"/>
        </w:rPr>
        <w:t>万元，占</w:t>
      </w:r>
      <w:r>
        <w:rPr>
          <w:rFonts w:eastAsia="方正仿宋_GBK"/>
          <w:sz w:val="32"/>
          <w:szCs w:val="32"/>
        </w:rPr>
        <w:t>5.92</w:t>
      </w:r>
      <w:r>
        <w:rPr>
          <w:rFonts w:eastAsia="方正仿宋_GBK" w:hint="eastAsia"/>
          <w:sz w:val="32"/>
          <w:szCs w:val="32"/>
        </w:rPr>
        <w:t>%；住房保障（类）支出</w:t>
      </w:r>
      <w:r>
        <w:rPr>
          <w:rFonts w:eastAsia="方正仿宋_GBK"/>
          <w:sz w:val="32"/>
          <w:szCs w:val="32"/>
        </w:rPr>
        <w:t>377.76</w:t>
      </w:r>
      <w:r>
        <w:rPr>
          <w:rFonts w:eastAsia="方正仿宋_GBK" w:hint="eastAsia"/>
          <w:sz w:val="32"/>
          <w:szCs w:val="32"/>
        </w:rPr>
        <w:t>万元，占</w:t>
      </w:r>
      <w:r>
        <w:rPr>
          <w:rFonts w:eastAsia="方正仿宋_GBK"/>
          <w:sz w:val="32"/>
          <w:szCs w:val="32"/>
        </w:rPr>
        <w:t>9.01</w:t>
      </w:r>
      <w:r>
        <w:rPr>
          <w:rFonts w:eastAsia="方正仿宋_GBK" w:hint="eastAsia"/>
          <w:sz w:val="32"/>
          <w:szCs w:val="32"/>
        </w:rPr>
        <w:t>%。</w:t>
      </w:r>
    </w:p>
    <w:p>
      <w:pPr>
        <w:jc w:val="center"/>
        <w:rPr>
          <w:sz w:val="32"/>
          <w:szCs w:val="32"/>
        </w:rPr>
      </w:pPr>
      <w:r>
        <w:rPr>
          <w:sz w:val="32"/>
          <w:szCs w:val="32"/>
        </w:rPr>
        <w:drawing>
          <wp:inline distT="0" distB="0" distL="85723" distR="85723">
            <wp:extent cx="4571929" cy="2743157"/>
            <wp:effectExtent l="0" t="0" r="0" b="0"/>
            <wp:docPr id="22" name="图片"/>
            <wp:cNvGraphicFramePr>
              <a:graphicFrameLocks noChangeAspect="1"/>
            </wp:cNvGraphicFramePr>
            <a:graphic>
              <a:graphicData uri="http://schemas.openxmlformats.org/drawingml/2006/picture">
                <pic:pic>
                  <pic:nvPicPr>
                    <pic:cNvPr id="24" name="图片 24"/>
                    <pic:cNvPicPr/>
                  </pic:nvPicPr>
                  <pic:blipFill>
                    <a:blip r:embed="rId9"/>
                    <a:stretch>
                      <a:fillRect/>
                    </a:stretch>
                  </pic:blipFill>
                  <pic:spPr>
                    <a:xfrm rot="0">
                      <a:off x="0" y="0"/>
                      <a:ext cx="4571929" cy="2743157"/>
                    </a:xfrm>
                    <a:prstGeom prst="rect"/>
                    <a:noFill/>
                    <a:ln w="9525" cmpd="sng" cap="flat">
                      <a:noFill/>
                      <a:prstDash val="solid"/>
                      <a:miter/>
                    </a:ln>
                  </pic:spPr>
                </pic:pic>
              </a:graphicData>
            </a:graphic>
          </wp:inline>
        </w:drawing>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年预算数</w:t>
      </w:r>
      <w:r>
        <w:rPr>
          <w:rFonts w:eastAsia="方正仿宋_GBK"/>
          <w:sz w:val="32"/>
          <w:szCs w:val="32"/>
        </w:rPr>
        <w:t>2679.7</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），比2024年执行数增加</w:t>
      </w:r>
      <w:r>
        <w:rPr>
          <w:rFonts w:eastAsia="方正仿宋_GBK"/>
          <w:sz w:val="32"/>
          <w:szCs w:val="32"/>
        </w:rPr>
        <w:t>145.24</w:t>
      </w:r>
      <w:r>
        <w:rPr>
          <w:rFonts w:eastAsia="方正仿宋_GBK" w:hint="eastAsia"/>
          <w:sz w:val="32"/>
          <w:szCs w:val="32"/>
        </w:rPr>
        <w:t>万元，增长</w:t>
      </w:r>
      <w:r>
        <w:rPr>
          <w:rFonts w:eastAsia="方正仿宋_GBK"/>
          <w:sz w:val="32"/>
          <w:szCs w:val="32"/>
        </w:rPr>
        <w:t xml:space="preserve">5.73 </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（1）行政运行（项）2025年预算数</w:t>
      </w:r>
      <w:r>
        <w:rPr>
          <w:rFonts w:eastAsia="方正仿宋_GBK"/>
          <w:sz w:val="32"/>
          <w:szCs w:val="32"/>
        </w:rPr>
        <w:t>2349.83</w:t>
      </w:r>
      <w:r>
        <w:rPr>
          <w:rFonts w:eastAsia="方正仿宋_GBK" w:hint="eastAsia"/>
          <w:sz w:val="32"/>
          <w:szCs w:val="32"/>
        </w:rPr>
        <w:t>万元，比2024年执行数</w:t>
      </w:r>
      <w:r>
        <w:rPr>
          <w:rFonts w:eastAsia="方正仿宋_GBK"/>
          <w:sz w:val="32"/>
          <w:szCs w:val="32"/>
        </w:rPr>
        <w:t>增加52.34</w:t>
      </w:r>
      <w:r>
        <w:rPr>
          <w:rFonts w:eastAsia="方正仿宋_GBK" w:hint="eastAsia"/>
          <w:sz w:val="32"/>
          <w:szCs w:val="32"/>
        </w:rPr>
        <w:t>万元，</w:t>
      </w:r>
      <w:r>
        <w:rPr>
          <w:rFonts w:eastAsia="方正仿宋_GBK"/>
          <w:sz w:val="32"/>
          <w:szCs w:val="32"/>
        </w:rPr>
        <w:t>增长2.23</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（2）缉私办案（项）2025年预算数</w:t>
      </w:r>
      <w:r>
        <w:rPr>
          <w:rFonts w:eastAsia="方正仿宋_GBK"/>
          <w:sz w:val="32"/>
          <w:szCs w:val="32"/>
        </w:rPr>
        <w:t>1.13</w:t>
      </w:r>
      <w:r>
        <w:rPr>
          <w:rFonts w:eastAsia="方正仿宋_GBK" w:hint="eastAsia"/>
          <w:sz w:val="32"/>
          <w:szCs w:val="32"/>
        </w:rPr>
        <w:t>万元，</w:t>
      </w:r>
      <w:r>
        <w:rPr>
          <w:rFonts w:eastAsia="方正仿宋_GBK"/>
          <w:sz w:val="32"/>
          <w:szCs w:val="32"/>
        </w:rPr>
        <w:t>比</w:t>
      </w:r>
      <w:r>
        <w:rPr>
          <w:rFonts w:eastAsia="方正仿宋_GBK" w:hint="eastAsia"/>
          <w:sz w:val="32"/>
          <w:szCs w:val="32"/>
        </w:rPr>
        <w:t>2024年执行数</w:t>
      </w:r>
      <w:r>
        <w:rPr>
          <w:rFonts w:eastAsia="方正仿宋_GBK"/>
          <w:sz w:val="32"/>
          <w:szCs w:val="32"/>
        </w:rPr>
        <w:t>减少3.4万元，降低75.06%，主要是涉案财物处置频率高，仓储量减少，相应减少仓储费用</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）海关关务（项）2025年预算数</w:t>
      </w:r>
      <w:r>
        <w:rPr>
          <w:rFonts w:eastAsia="方正仿宋_GBK"/>
          <w:sz w:val="32"/>
          <w:szCs w:val="32"/>
        </w:rPr>
        <w:t>247.7</w:t>
      </w:r>
      <w:r>
        <w:rPr>
          <w:rFonts w:eastAsia="方正仿宋_GBK" w:hint="eastAsia"/>
          <w:sz w:val="32"/>
          <w:szCs w:val="32"/>
        </w:rPr>
        <w:t>万元，比2024年执行数增加</w:t>
      </w:r>
      <w:r>
        <w:rPr>
          <w:rFonts w:eastAsia="方正仿宋_GBK"/>
          <w:sz w:val="32"/>
          <w:szCs w:val="32"/>
        </w:rPr>
        <w:t>97.1</w:t>
      </w:r>
      <w:r>
        <w:rPr>
          <w:rFonts w:eastAsia="方正仿宋_GBK" w:hint="eastAsia"/>
          <w:sz w:val="32"/>
          <w:szCs w:val="32"/>
        </w:rPr>
        <w:t>万元，增长</w:t>
      </w:r>
      <w:r>
        <w:rPr>
          <w:rFonts w:eastAsia="方正仿宋_GBK"/>
          <w:sz w:val="32"/>
          <w:szCs w:val="32"/>
        </w:rPr>
        <w:t>64.48</w:t>
      </w:r>
      <w:r>
        <w:rPr>
          <w:rFonts w:eastAsia="方正仿宋_GBK" w:hint="eastAsia"/>
          <w:sz w:val="32"/>
          <w:szCs w:val="32"/>
        </w:rPr>
        <w:t>%。主要是</w:t>
      </w:r>
      <w:r>
        <w:rPr>
          <w:rFonts w:eastAsia="方正仿宋_GBK"/>
          <w:sz w:val="32"/>
          <w:szCs w:val="32"/>
        </w:rPr>
        <w:t>当</w:t>
      </w:r>
      <w:r>
        <w:rPr>
          <w:rFonts w:eastAsia="方正仿宋_GBK" w:hint="eastAsia"/>
          <w:sz w:val="32"/>
          <w:szCs w:val="32"/>
        </w:rPr>
        <w:t>年</w:t>
      </w:r>
      <w:r>
        <w:rPr>
          <w:rFonts w:eastAsia="方正仿宋_GBK"/>
          <w:sz w:val="32"/>
          <w:szCs w:val="32"/>
        </w:rPr>
        <w:t>新购置一辆公务用车</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）海关监管（项）202</w:t>
      </w:r>
      <w:r>
        <w:rPr>
          <w:rFonts w:eastAsia="方正仿宋_GBK"/>
          <w:sz w:val="32"/>
          <w:szCs w:val="32"/>
        </w:rPr>
        <w:t>5</w:t>
      </w:r>
      <w:r>
        <w:rPr>
          <w:rFonts w:eastAsia="方正仿宋_GBK" w:hint="eastAsia"/>
          <w:sz w:val="32"/>
          <w:szCs w:val="32"/>
        </w:rPr>
        <w:t>年预算2025年预算数</w:t>
      </w:r>
      <w:r>
        <w:rPr>
          <w:rFonts w:eastAsia="方正仿宋_GBK"/>
          <w:sz w:val="32"/>
          <w:szCs w:val="32"/>
        </w:rPr>
        <w:t>15</w:t>
      </w:r>
      <w:r>
        <w:rPr>
          <w:rFonts w:eastAsia="方正仿宋_GBK" w:hint="eastAsia"/>
          <w:sz w:val="32"/>
          <w:szCs w:val="32"/>
        </w:rPr>
        <w:t>万元，比2024年执行数增加</w:t>
      </w:r>
      <w:r>
        <w:rPr>
          <w:rFonts w:eastAsia="方正仿宋_GBK"/>
          <w:sz w:val="32"/>
          <w:szCs w:val="32"/>
        </w:rPr>
        <w:t>4</w:t>
      </w:r>
      <w:r>
        <w:rPr>
          <w:rFonts w:eastAsia="方正仿宋_GBK" w:hint="eastAsia"/>
          <w:sz w:val="32"/>
          <w:szCs w:val="32"/>
        </w:rPr>
        <w:t>万元，增长</w:t>
      </w:r>
      <w:r>
        <w:rPr>
          <w:rFonts w:eastAsia="方正仿宋_GBK"/>
          <w:sz w:val="32"/>
          <w:szCs w:val="32"/>
        </w:rPr>
        <w:t>36.36</w:t>
      </w:r>
      <w:r>
        <w:rPr>
          <w:rFonts w:eastAsia="方正仿宋_GBK" w:hint="eastAsia"/>
          <w:sz w:val="32"/>
          <w:szCs w:val="32"/>
        </w:rPr>
        <w:t>%。主要是海关监管业务改革相关工作支出增加。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5</w:t>
      </w:r>
      <w:r>
        <w:rPr>
          <w:rFonts w:eastAsia="方正仿宋_GBK" w:hint="eastAsia"/>
          <w:sz w:val="32"/>
          <w:szCs w:val="32"/>
        </w:rPr>
        <w:t>）检验检疫（项）2025年预算数</w:t>
      </w:r>
      <w:r>
        <w:rPr>
          <w:rFonts w:eastAsia="方正仿宋_GBK"/>
          <w:sz w:val="32"/>
          <w:szCs w:val="32"/>
        </w:rPr>
        <w:t>13.7</w:t>
      </w:r>
      <w:r>
        <w:rPr>
          <w:rFonts w:eastAsia="方正仿宋_GBK" w:hint="eastAsia"/>
          <w:sz w:val="32"/>
          <w:szCs w:val="32"/>
        </w:rPr>
        <w:t>万元，比2024年执行数</w:t>
      </w:r>
      <w:r>
        <w:rPr>
          <w:rFonts w:eastAsia="方正仿宋_GBK"/>
          <w:sz w:val="32"/>
          <w:szCs w:val="32"/>
        </w:rPr>
        <w:t>减少4.8</w:t>
      </w:r>
      <w:r>
        <w:rPr>
          <w:rFonts w:eastAsia="方正仿宋_GBK" w:hint="eastAsia"/>
          <w:sz w:val="32"/>
          <w:szCs w:val="32"/>
        </w:rPr>
        <w:t>万元，</w:t>
      </w:r>
      <w:r>
        <w:rPr>
          <w:rFonts w:eastAsia="方正仿宋_GBK"/>
          <w:sz w:val="32"/>
          <w:szCs w:val="32"/>
        </w:rPr>
        <w:t>降低25.95</w:t>
      </w:r>
      <w:r>
        <w:rPr>
          <w:rFonts w:eastAsia="方正仿宋_GBK" w:hint="eastAsia"/>
          <w:sz w:val="32"/>
          <w:szCs w:val="32"/>
        </w:rPr>
        <w:t>%。主要是</w:t>
      </w:r>
      <w:r>
        <w:rPr>
          <w:rFonts w:eastAsia="方正仿宋_GBK"/>
          <w:sz w:val="32"/>
          <w:szCs w:val="32"/>
        </w:rPr>
        <w:t>本口岸</w:t>
      </w:r>
      <w:r>
        <w:rPr>
          <w:rFonts w:eastAsia="方正仿宋_GBK" w:hint="eastAsia"/>
          <w:sz w:val="32"/>
          <w:szCs w:val="32"/>
        </w:rPr>
        <w:t>相关</w:t>
      </w:r>
      <w:r>
        <w:rPr>
          <w:rFonts w:eastAsia="方正仿宋_GBK"/>
          <w:sz w:val="32"/>
          <w:szCs w:val="32"/>
        </w:rPr>
        <w:t>检测</w:t>
      </w:r>
      <w:r>
        <w:rPr>
          <w:rFonts w:eastAsia="方正仿宋_GBK" w:hint="eastAsia"/>
          <w:sz w:val="32"/>
          <w:szCs w:val="32"/>
        </w:rPr>
        <w:t>业务支出</w:t>
      </w:r>
      <w:r>
        <w:rPr>
          <w:rFonts w:eastAsia="方正仿宋_GBK"/>
          <w:sz w:val="32"/>
          <w:szCs w:val="32"/>
        </w:rPr>
        <w:t>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2．公共安全支出（类）缉私警察（款）2025年预算数</w:t>
      </w:r>
      <w:r>
        <w:rPr>
          <w:rFonts w:eastAsia="方正仿宋_GBK"/>
          <w:sz w:val="32"/>
          <w:szCs w:val="32"/>
        </w:rPr>
        <w:t>463.71</w:t>
      </w:r>
      <w:r>
        <w:rPr>
          <w:rFonts w:eastAsia="方正仿宋_GBK" w:hint="eastAsia"/>
          <w:sz w:val="32"/>
          <w:szCs w:val="32"/>
        </w:rPr>
        <w:t>万元，比2024年执行数增加</w:t>
      </w:r>
      <w:r>
        <w:rPr>
          <w:rFonts w:eastAsia="方正仿宋_GBK"/>
          <w:sz w:val="32"/>
          <w:szCs w:val="32"/>
        </w:rPr>
        <w:t>38.42</w:t>
      </w:r>
      <w:r>
        <w:rPr>
          <w:rFonts w:eastAsia="方正仿宋_GBK" w:hint="eastAsia"/>
          <w:sz w:val="32"/>
          <w:szCs w:val="32"/>
        </w:rPr>
        <w:t>万元，增长</w:t>
      </w:r>
      <w:r>
        <w:rPr>
          <w:rFonts w:eastAsia="方正仿宋_GBK"/>
          <w:sz w:val="32"/>
          <w:szCs w:val="32"/>
        </w:rPr>
        <w:t>9.03</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．社会保障和就业支出（类）行政事业单位养老支出（款）2025年预算数</w:t>
      </w:r>
      <w:r>
        <w:rPr>
          <w:rFonts w:eastAsia="方正仿宋_GBK"/>
          <w:sz w:val="32"/>
          <w:szCs w:val="32"/>
        </w:rPr>
        <w:t>424.62</w:t>
      </w:r>
      <w:r>
        <w:rPr>
          <w:rFonts w:eastAsia="方正仿宋_GBK" w:hint="eastAsia"/>
          <w:sz w:val="32"/>
          <w:szCs w:val="32"/>
        </w:rPr>
        <w:t>万元，比2024年执行数增加</w:t>
      </w:r>
      <w:r>
        <w:rPr>
          <w:rFonts w:eastAsia="方正仿宋_GBK"/>
          <w:sz w:val="32"/>
          <w:szCs w:val="32"/>
        </w:rPr>
        <w:t>44.19</w:t>
      </w:r>
      <w:r>
        <w:rPr>
          <w:rFonts w:eastAsia="方正仿宋_GBK" w:hint="eastAsia"/>
          <w:sz w:val="32"/>
          <w:szCs w:val="32"/>
        </w:rPr>
        <w:t>万元，增长</w:t>
      </w:r>
      <w:r>
        <w:rPr>
          <w:rFonts w:eastAsia="方正仿宋_GBK"/>
          <w:sz w:val="32"/>
          <w:szCs w:val="32"/>
        </w:rPr>
        <w:t>11.62%</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（1）行政单位离退休（项）2025年预算数</w:t>
      </w:r>
      <w:r>
        <w:rPr>
          <w:rFonts w:eastAsia="方正仿宋_GBK"/>
          <w:sz w:val="32"/>
          <w:szCs w:val="32"/>
        </w:rPr>
        <w:t>4.12</w:t>
      </w:r>
      <w:r>
        <w:rPr>
          <w:rFonts w:eastAsia="方正仿宋_GBK" w:hint="eastAsia"/>
          <w:sz w:val="32"/>
          <w:szCs w:val="32"/>
        </w:rPr>
        <w:t>万元，比2024年执行数增加</w:t>
      </w:r>
      <w:r>
        <w:rPr>
          <w:rFonts w:eastAsia="方正仿宋_GBK"/>
          <w:sz w:val="32"/>
          <w:szCs w:val="32"/>
        </w:rPr>
        <w:t>0.25</w:t>
      </w:r>
      <w:r>
        <w:rPr>
          <w:rFonts w:eastAsia="方正仿宋_GBK" w:hint="eastAsia"/>
          <w:sz w:val="32"/>
          <w:szCs w:val="32"/>
        </w:rPr>
        <w:t>万元，增长</w:t>
      </w:r>
      <w:r>
        <w:rPr>
          <w:rFonts w:eastAsia="方正仿宋_GBK"/>
          <w:sz w:val="32"/>
          <w:szCs w:val="32"/>
        </w:rPr>
        <w:t>6.46</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）机关事业单位基本养老保险缴费支出（项）2025年预算数</w:t>
      </w:r>
      <w:r>
        <w:rPr>
          <w:rFonts w:eastAsia="方正仿宋_GBK"/>
          <w:sz w:val="32"/>
          <w:szCs w:val="32"/>
        </w:rPr>
        <w:t>276.87</w:t>
      </w:r>
      <w:r>
        <w:rPr>
          <w:rFonts w:eastAsia="方正仿宋_GBK" w:hint="eastAsia"/>
          <w:sz w:val="32"/>
          <w:szCs w:val="32"/>
        </w:rPr>
        <w:t>万元，比2024年执行数增加</w:t>
      </w:r>
      <w:r>
        <w:rPr>
          <w:rFonts w:eastAsia="方正仿宋_GBK"/>
          <w:sz w:val="32"/>
          <w:szCs w:val="32"/>
        </w:rPr>
        <w:t>36.12</w:t>
      </w:r>
      <w:r>
        <w:rPr>
          <w:rFonts w:eastAsia="方正仿宋_GBK" w:hint="eastAsia"/>
          <w:sz w:val="32"/>
          <w:szCs w:val="32"/>
        </w:rPr>
        <w:t>万元，增长</w:t>
      </w:r>
      <w:r>
        <w:rPr>
          <w:rFonts w:eastAsia="方正仿宋_GBK"/>
          <w:sz w:val="32"/>
          <w:szCs w:val="32"/>
        </w:rPr>
        <w:t>15</w:t>
      </w:r>
      <w:r>
        <w:rPr>
          <w:rFonts w:eastAsia="方正仿宋_GBK" w:hint="eastAsia"/>
          <w:sz w:val="32"/>
          <w:szCs w:val="32"/>
        </w:rPr>
        <w:t>%</w:t>
      </w:r>
      <w:r>
        <w:rPr>
          <w:rFonts w:eastAsia="方正仿宋_GBK"/>
          <w:sz w:val="32"/>
          <w:szCs w:val="32"/>
        </w:rPr>
        <w:t>，主要是行政人员编制数增加，相应增加其基本养老保险费用</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）机关事业单位职业年金缴费支出（项）2025年预算数</w:t>
      </w:r>
      <w:r>
        <w:rPr>
          <w:rFonts w:eastAsia="方正仿宋_GBK"/>
          <w:sz w:val="32"/>
          <w:szCs w:val="32"/>
        </w:rPr>
        <w:t>143.63</w:t>
      </w:r>
      <w:r>
        <w:rPr>
          <w:rFonts w:eastAsia="方正仿宋_GBK" w:hint="eastAsia"/>
          <w:sz w:val="32"/>
          <w:szCs w:val="32"/>
        </w:rPr>
        <w:t>万元，比2024年执行数增加</w:t>
      </w:r>
      <w:r>
        <w:rPr>
          <w:rFonts w:eastAsia="方正仿宋_GBK"/>
          <w:sz w:val="32"/>
          <w:szCs w:val="32"/>
        </w:rPr>
        <w:t>7.82</w:t>
      </w:r>
      <w:r>
        <w:rPr>
          <w:rFonts w:eastAsia="方正仿宋_GBK" w:hint="eastAsia"/>
          <w:sz w:val="32"/>
          <w:szCs w:val="32"/>
        </w:rPr>
        <w:t>万元，增长</w:t>
      </w:r>
      <w:r>
        <w:rPr>
          <w:rFonts w:eastAsia="方正仿宋_GBK"/>
          <w:sz w:val="32"/>
          <w:szCs w:val="32"/>
        </w:rPr>
        <w:t>5.76</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．卫生健康支出（类）行政事业单位医疗（款）2025年预算数</w:t>
      </w:r>
      <w:r>
        <w:rPr>
          <w:rFonts w:eastAsia="方正仿宋_GBK"/>
          <w:sz w:val="32"/>
          <w:szCs w:val="32"/>
        </w:rPr>
        <w:t>248.08</w:t>
      </w:r>
      <w:r>
        <w:rPr>
          <w:rFonts w:eastAsia="方正仿宋_GBK" w:hint="eastAsia"/>
          <w:sz w:val="32"/>
          <w:szCs w:val="32"/>
        </w:rPr>
        <w:t>万元，</w:t>
      </w:r>
      <w:r>
        <w:rPr>
          <w:rFonts w:eastAsia="方正仿宋_GBK"/>
          <w:sz w:val="32"/>
          <w:szCs w:val="32"/>
        </w:rPr>
        <w:t>与</w:t>
      </w:r>
      <w:r>
        <w:rPr>
          <w:rFonts w:eastAsia="方正仿宋_GBK" w:hint="eastAsia"/>
          <w:sz w:val="32"/>
          <w:szCs w:val="32"/>
        </w:rPr>
        <w:t>2024年执行数</w:t>
      </w:r>
      <w:r>
        <w:rPr>
          <w:rFonts w:eastAsia="方正仿宋_GBK"/>
          <w:sz w:val="32"/>
          <w:szCs w:val="32"/>
        </w:rPr>
        <w:t>持平</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（1）行政单位医疗（项）2025年预算数</w:t>
      </w:r>
      <w:r>
        <w:rPr>
          <w:rFonts w:eastAsia="方正仿宋_GBK"/>
          <w:sz w:val="32"/>
          <w:szCs w:val="32"/>
        </w:rPr>
        <w:t>154.77</w:t>
      </w:r>
      <w:r>
        <w:rPr>
          <w:rFonts w:eastAsia="方正仿宋_GBK" w:hint="eastAsia"/>
          <w:sz w:val="32"/>
          <w:szCs w:val="32"/>
        </w:rPr>
        <w:t>万元，</w:t>
      </w:r>
      <w:r>
        <w:rPr>
          <w:rFonts w:eastAsia="方正仿宋_GBK"/>
          <w:sz w:val="32"/>
          <w:szCs w:val="32"/>
        </w:rPr>
        <w:t>与</w:t>
      </w:r>
      <w:r>
        <w:rPr>
          <w:rFonts w:eastAsia="方正仿宋_GBK" w:hint="eastAsia"/>
          <w:sz w:val="32"/>
          <w:szCs w:val="32"/>
        </w:rPr>
        <w:t>2024年执行数</w:t>
      </w:r>
      <w:r>
        <w:rPr>
          <w:rFonts w:eastAsia="方正仿宋_GBK"/>
          <w:sz w:val="32"/>
          <w:szCs w:val="32"/>
        </w:rPr>
        <w:t>持平</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（2）公务员医疗补助（项）2025年预算数</w:t>
      </w:r>
      <w:r>
        <w:rPr>
          <w:rFonts w:eastAsia="方正仿宋_GBK"/>
          <w:sz w:val="32"/>
          <w:szCs w:val="32"/>
        </w:rPr>
        <w:t>90.2</w:t>
      </w:r>
      <w:r>
        <w:rPr>
          <w:rFonts w:eastAsia="方正仿宋_GBK" w:hint="eastAsia"/>
          <w:sz w:val="32"/>
          <w:szCs w:val="32"/>
        </w:rPr>
        <w:t>万元，</w:t>
      </w:r>
      <w:r>
        <w:rPr>
          <w:rFonts w:eastAsia="方正仿宋_GBK"/>
          <w:sz w:val="32"/>
          <w:szCs w:val="32"/>
        </w:rPr>
        <w:t>与</w:t>
      </w:r>
      <w:r>
        <w:rPr>
          <w:rFonts w:eastAsia="方正仿宋_GBK" w:hint="eastAsia"/>
          <w:sz w:val="32"/>
          <w:szCs w:val="32"/>
        </w:rPr>
        <w:t>2024年执行数</w:t>
      </w:r>
      <w:r>
        <w:rPr>
          <w:rFonts w:eastAsia="方正仿宋_GBK"/>
          <w:sz w:val="32"/>
          <w:szCs w:val="32"/>
        </w:rPr>
        <w:t>持平</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（3）其他行政事业单位医疗支出（项）2025年预算数</w:t>
      </w:r>
      <w:r>
        <w:rPr>
          <w:rFonts w:eastAsia="方正仿宋_GBK"/>
          <w:sz w:val="32"/>
          <w:szCs w:val="32"/>
        </w:rPr>
        <w:t>3.11</w:t>
      </w:r>
      <w:r>
        <w:rPr>
          <w:rFonts w:eastAsia="方正仿宋_GBK" w:hint="eastAsia"/>
          <w:sz w:val="32"/>
          <w:szCs w:val="32"/>
        </w:rPr>
        <w:t>万元，</w:t>
      </w:r>
      <w:r>
        <w:rPr>
          <w:rFonts w:eastAsia="方正仿宋_GBK"/>
          <w:sz w:val="32"/>
          <w:szCs w:val="32"/>
        </w:rPr>
        <w:t>与</w:t>
      </w:r>
      <w:r>
        <w:rPr>
          <w:rFonts w:eastAsia="方正仿宋_GBK" w:hint="eastAsia"/>
          <w:sz w:val="32"/>
          <w:szCs w:val="32"/>
        </w:rPr>
        <w:t>2024年执行数</w:t>
      </w:r>
      <w:r>
        <w:rPr>
          <w:rFonts w:eastAsia="方正仿宋_GBK"/>
          <w:sz w:val="32"/>
          <w:szCs w:val="32"/>
        </w:rPr>
        <w:t>持平</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．住房保障支出（类）住房改革支出（款）2025年预算数</w:t>
      </w:r>
      <w:r>
        <w:rPr>
          <w:rFonts w:eastAsia="方正仿宋_GBK"/>
          <w:sz w:val="32"/>
          <w:szCs w:val="32"/>
        </w:rPr>
        <w:t>377.76</w:t>
      </w:r>
      <w:r>
        <w:rPr>
          <w:rFonts w:eastAsia="方正仿宋_GBK" w:hint="eastAsia"/>
          <w:sz w:val="32"/>
          <w:szCs w:val="32"/>
        </w:rPr>
        <w:t>万元，比2024年执行数增加</w:t>
      </w:r>
      <w:r>
        <w:rPr>
          <w:rFonts w:eastAsia="方正仿宋_GBK"/>
          <w:sz w:val="32"/>
          <w:szCs w:val="32"/>
        </w:rPr>
        <w:t>42.6</w:t>
      </w:r>
      <w:r>
        <w:rPr>
          <w:rFonts w:eastAsia="方正仿宋_GBK" w:hint="eastAsia"/>
          <w:sz w:val="32"/>
          <w:szCs w:val="32"/>
        </w:rPr>
        <w:t>万元，增长</w:t>
      </w:r>
      <w:r>
        <w:rPr>
          <w:rFonts w:eastAsia="方正仿宋_GBK"/>
          <w:sz w:val="32"/>
          <w:szCs w:val="32"/>
        </w:rPr>
        <w:t>12.71</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（1）住房公积金（项）2025年预算数</w:t>
      </w:r>
      <w:r>
        <w:rPr>
          <w:rFonts w:eastAsia="方正仿宋_GBK"/>
          <w:sz w:val="32"/>
          <w:szCs w:val="32"/>
        </w:rPr>
        <w:t>222.6</w:t>
      </w:r>
      <w:r>
        <w:rPr>
          <w:rFonts w:eastAsia="方正仿宋_GBK" w:hint="eastAsia"/>
          <w:sz w:val="32"/>
          <w:szCs w:val="32"/>
        </w:rPr>
        <w:t>万元，比2024年执行数增加</w:t>
      </w:r>
      <w:r>
        <w:rPr>
          <w:rFonts w:eastAsia="方正仿宋_GBK"/>
          <w:sz w:val="32"/>
          <w:szCs w:val="32"/>
        </w:rPr>
        <w:t>42.6</w:t>
      </w:r>
      <w:r>
        <w:rPr>
          <w:rFonts w:eastAsia="方正仿宋_GBK" w:hint="eastAsia"/>
          <w:sz w:val="32"/>
          <w:szCs w:val="32"/>
        </w:rPr>
        <w:t>万元，增长</w:t>
      </w:r>
      <w:r>
        <w:rPr>
          <w:rFonts w:eastAsia="方正仿宋_GBK"/>
          <w:sz w:val="32"/>
          <w:szCs w:val="32"/>
        </w:rPr>
        <w:t>23.67</w:t>
      </w:r>
      <w:r>
        <w:rPr>
          <w:rFonts w:eastAsia="方正仿宋_GBK" w:hint="eastAsia"/>
          <w:sz w:val="32"/>
          <w:szCs w:val="32"/>
        </w:rPr>
        <w:t>%</w:t>
      </w:r>
      <w:r>
        <w:rPr>
          <w:rFonts w:eastAsia="方正仿宋_GBK"/>
          <w:sz w:val="32"/>
          <w:szCs w:val="32"/>
        </w:rPr>
        <w:t>，主要是行政人员编制数增加，相应增加其住房公积金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（2）购房补贴（项）2025年预算数</w:t>
      </w:r>
      <w:r>
        <w:rPr>
          <w:rFonts w:eastAsia="方正仿宋_GBK"/>
          <w:sz w:val="32"/>
          <w:szCs w:val="32"/>
        </w:rPr>
        <w:t>155.16</w:t>
      </w:r>
      <w:r>
        <w:rPr>
          <w:rFonts w:eastAsia="方正仿宋_GBK" w:hint="eastAsia"/>
          <w:sz w:val="32"/>
          <w:szCs w:val="32"/>
        </w:rPr>
        <w:t>万元，</w:t>
      </w:r>
      <w:r>
        <w:rPr>
          <w:rFonts w:eastAsia="方正仿宋_GBK"/>
          <w:sz w:val="32"/>
          <w:szCs w:val="32"/>
        </w:rPr>
        <w:t>与</w:t>
      </w:r>
      <w:r>
        <w:rPr>
          <w:rFonts w:eastAsia="方正仿宋_GBK" w:hint="eastAsia"/>
          <w:sz w:val="32"/>
          <w:szCs w:val="32"/>
        </w:rPr>
        <w:t>2024年执行数</w:t>
      </w:r>
      <w:r>
        <w:rPr>
          <w:rFonts w:eastAsia="方正仿宋_GBK"/>
          <w:sz w:val="32"/>
          <w:szCs w:val="32"/>
        </w:rPr>
        <w:t>持平</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马尾</w:t>
      </w:r>
      <w:r>
        <w:rPr>
          <w:rFonts w:eastAsia="方正黑体_GBK" w:hint="eastAsia"/>
          <w:sz w:val="32"/>
          <w:szCs w:val="32"/>
        </w:rPr>
        <w:t>海关202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5</w:t>
      </w:r>
      <w:r>
        <w:rPr>
          <w:rFonts w:eastAsia="方正仿宋_GBK" w:hint="eastAsia"/>
          <w:sz w:val="32"/>
          <w:szCs w:val="32"/>
        </w:rPr>
        <w:t>年一般公共预算基本支出</w:t>
      </w:r>
      <w:r>
        <w:rPr>
          <w:rFonts w:eastAsia="方正仿宋_GBK"/>
          <w:sz w:val="32"/>
          <w:szCs w:val="32"/>
        </w:rPr>
        <w:t>3856.34</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3102.5</w:t>
      </w:r>
      <w:r>
        <w:rPr>
          <w:rFonts w:eastAsia="方正仿宋_GBK" w:hint="eastAsia"/>
          <w:sz w:val="32"/>
          <w:szCs w:val="32"/>
        </w:rPr>
        <w:t>万元，主要包括：基本工资、津贴补贴、奖金、机关事业单位基本养老保险缴费、职业年金缴费、职工基本医疗保险缴费、公务员医疗补助缴费、其他社会保障缴费、住房公积金、其他工资福利支出；</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753.84</w:t>
      </w:r>
      <w:r>
        <w:rPr>
          <w:rFonts w:eastAsia="方正仿宋_GBK" w:hint="eastAsia"/>
          <w:sz w:val="32"/>
          <w:szCs w:val="32"/>
        </w:rPr>
        <w:t>万元，主要包括：办公费、水费、电费、邮电费、物业管理费、差旅费、维修（护）费、租赁费、培训费、公务接待费、专用材料费、劳务费、委托业务费、工会经费、福利费、公务用车运行维护费、其他交通费用</w:t>
      </w:r>
      <w:r>
        <w:rPr>
          <w:rFonts w:eastAsia="方正仿宋_GBK"/>
          <w:sz w:val="32"/>
          <w:szCs w:val="32"/>
        </w:rPr>
        <w:t>、</w:t>
      </w:r>
      <w:r>
        <w:rPr>
          <w:rFonts w:eastAsia="方正仿宋_GBK" w:hint="eastAsia"/>
          <w:sz w:val="32"/>
          <w:szCs w:val="32"/>
        </w:rPr>
        <w:t>其他商品和服务支出、办公设备购置。</w:t>
      </w:r>
    </w:p>
    <w:p>
      <w:pPr>
        <w:pStyle w:val="3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马尾</w:t>
      </w:r>
      <w:r>
        <w:rPr>
          <w:rFonts w:eastAsia="方正黑体_GBK" w:hint="eastAsia"/>
          <w:sz w:val="32"/>
          <w:szCs w:val="32"/>
        </w:rPr>
        <w:t>海关202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5</w:t>
      </w:r>
      <w:r>
        <w:rPr>
          <w:rFonts w:eastAsia="方正仿宋_GBK" w:hint="eastAsia"/>
          <w:sz w:val="32"/>
          <w:szCs w:val="32"/>
        </w:rPr>
        <w:t>年“三公”经费预算数为</w:t>
      </w:r>
      <w:r>
        <w:rPr>
          <w:rFonts w:eastAsia="方正仿宋_GBK"/>
          <w:sz w:val="32"/>
          <w:szCs w:val="32"/>
        </w:rPr>
        <w:t>103.9</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w:t>
      </w:r>
      <w:r>
        <w:rPr>
          <w:rFonts w:eastAsia="方正仿宋_GBK"/>
          <w:sz w:val="32"/>
          <w:szCs w:val="32"/>
        </w:rPr>
        <w:t>增加49.11</w:t>
      </w:r>
      <w:r>
        <w:rPr>
          <w:rFonts w:eastAsia="方正仿宋_GBK" w:hint="eastAsia"/>
          <w:sz w:val="32"/>
          <w:szCs w:val="32"/>
        </w:rPr>
        <w:t>万元。其中：公务用车购置费</w:t>
      </w:r>
      <w:r>
        <w:rPr>
          <w:rFonts w:eastAsia="方正仿宋_GBK"/>
          <w:sz w:val="32"/>
          <w:szCs w:val="32"/>
        </w:rPr>
        <w:t>49.5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年预算数增加</w:t>
      </w:r>
      <w:r>
        <w:rPr>
          <w:rFonts w:eastAsia="方正仿宋_GBK"/>
          <w:sz w:val="32"/>
          <w:szCs w:val="32"/>
        </w:rPr>
        <w:t>49.5</w:t>
      </w:r>
      <w:r>
        <w:rPr>
          <w:rFonts w:eastAsia="方正仿宋_GBK" w:hint="eastAsia"/>
          <w:sz w:val="32"/>
          <w:szCs w:val="32"/>
        </w:rPr>
        <w:t>万元，</w:t>
      </w:r>
      <w:r>
        <w:rPr>
          <w:rFonts w:eastAsia="方正仿宋_GBK"/>
          <w:sz w:val="32"/>
          <w:szCs w:val="32"/>
        </w:rPr>
        <w:t>主要用于本单位</w:t>
      </w:r>
      <w:r>
        <w:rPr>
          <w:rFonts w:eastAsia="方正仿宋_GBK" w:hint="eastAsia"/>
          <w:sz w:val="32"/>
          <w:szCs w:val="32"/>
        </w:rPr>
        <w:t>更新公务用车</w:t>
      </w:r>
      <w:r>
        <w:rPr>
          <w:rFonts w:eastAsia="方正仿宋_GBK"/>
          <w:sz w:val="32"/>
          <w:szCs w:val="32"/>
        </w:rPr>
        <w:t>1</w:t>
      </w:r>
      <w:r>
        <w:rPr>
          <w:rFonts w:eastAsia="方正仿宋_GBK" w:hint="eastAsia"/>
          <w:sz w:val="32"/>
          <w:szCs w:val="32"/>
        </w:rPr>
        <w:t>辆；公务用车运行费</w:t>
      </w:r>
      <w:r>
        <w:rPr>
          <w:rFonts w:eastAsia="方正仿宋_GBK"/>
          <w:sz w:val="32"/>
          <w:szCs w:val="32"/>
        </w:rPr>
        <w:t>54.2</w:t>
      </w:r>
      <w:r>
        <w:rPr>
          <w:rFonts w:eastAsia="方正仿宋_GBK" w:hint="eastAsia"/>
          <w:sz w:val="32"/>
          <w:szCs w:val="32"/>
        </w:rPr>
        <w:t>万元，</w:t>
      </w:r>
      <w:r>
        <w:rPr>
          <w:rFonts w:eastAsia="方正仿宋_GBK"/>
          <w:sz w:val="32"/>
          <w:szCs w:val="32"/>
        </w:rPr>
        <w:t>与</w:t>
      </w:r>
      <w:r>
        <w:rPr>
          <w:rFonts w:eastAsia="方正仿宋_GBK" w:hint="eastAsia"/>
          <w:sz w:val="32"/>
          <w:szCs w:val="32"/>
        </w:rPr>
        <w:t>2024年执行数</w:t>
      </w:r>
      <w:r>
        <w:rPr>
          <w:rFonts w:eastAsia="方正仿宋_GBK"/>
          <w:sz w:val="32"/>
          <w:szCs w:val="32"/>
        </w:rPr>
        <w:t>持平，主要是用于存量公务用车的运行维护费用</w:t>
      </w:r>
      <w:r>
        <w:rPr>
          <w:rFonts w:eastAsia="方正仿宋_GBK" w:hint="eastAsia"/>
          <w:sz w:val="32"/>
          <w:szCs w:val="32"/>
        </w:rPr>
        <w:t>；公务接待费</w:t>
      </w:r>
      <w:r>
        <w:rPr>
          <w:rFonts w:eastAsia="方正仿宋_GBK"/>
          <w:sz w:val="32"/>
          <w:szCs w:val="32"/>
        </w:rPr>
        <w:t>0.2</w:t>
      </w:r>
      <w:r>
        <w:rPr>
          <w:rFonts w:eastAsia="方正仿宋_GBK" w:hint="eastAsia"/>
          <w:sz w:val="32"/>
          <w:szCs w:val="32"/>
        </w:rPr>
        <w:t>万元，</w:t>
      </w:r>
      <w:r>
        <w:rPr>
          <w:rFonts w:eastAsia="方正仿宋_GBK"/>
          <w:sz w:val="32"/>
          <w:szCs w:val="32"/>
        </w:rPr>
        <w:t>比</w:t>
      </w:r>
      <w:r>
        <w:rPr>
          <w:rFonts w:eastAsia="方正仿宋_GBK" w:hint="eastAsia"/>
          <w:sz w:val="32"/>
          <w:szCs w:val="32"/>
        </w:rPr>
        <w:t>2024年执行数</w:t>
      </w:r>
      <w:r>
        <w:rPr>
          <w:rFonts w:eastAsia="方正仿宋_GBK"/>
          <w:sz w:val="32"/>
          <w:szCs w:val="32"/>
        </w:rPr>
        <w:t>减少0.39万元</w:t>
      </w:r>
      <w:r>
        <w:rPr>
          <w:rFonts w:eastAsia="方正仿宋_GBK" w:hint="eastAsia"/>
          <w:sz w:val="32"/>
          <w:szCs w:val="32"/>
        </w:rPr>
        <w:t>，</w:t>
      </w:r>
      <w:r>
        <w:rPr>
          <w:rFonts w:eastAsia="方正仿宋_GBK"/>
          <w:sz w:val="32"/>
          <w:szCs w:val="32"/>
        </w:rPr>
        <w:t>主要用于</w:t>
      </w:r>
      <w:r>
        <w:rPr>
          <w:rFonts w:eastAsia="方正仿宋_GBK" w:hint="eastAsia"/>
          <w:sz w:val="32"/>
          <w:szCs w:val="32"/>
        </w:rPr>
        <w:t>公务</w:t>
      </w:r>
      <w:r>
        <w:rPr>
          <w:rFonts w:eastAsia="方正仿宋_GBK"/>
          <w:sz w:val="32"/>
          <w:szCs w:val="32"/>
        </w:rPr>
        <w:t>接待</w:t>
      </w:r>
      <w:r>
        <w:rPr>
          <w:rFonts w:eastAsia="方正仿宋_GBK" w:hint="eastAsia"/>
          <w:sz w:val="32"/>
          <w:szCs w:val="32"/>
        </w:rPr>
        <w:t>方面</w:t>
      </w:r>
      <w:r>
        <w:rPr>
          <w:rFonts w:eastAsia="方正仿宋_GBK"/>
          <w:sz w:val="32"/>
          <w:szCs w:val="32"/>
        </w:rPr>
        <w:t>的支出</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马尾</w:t>
      </w:r>
      <w:r>
        <w:rPr>
          <w:rFonts w:eastAsia="方正黑体_GBK" w:hint="eastAsia"/>
          <w:sz w:val="32"/>
          <w:szCs w:val="32"/>
        </w:rPr>
        <w:t>海关202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5</w:t>
      </w:r>
      <w:r>
        <w:rPr>
          <w:rFonts w:eastAsia="方正仿宋_GBK" w:hint="eastAsia"/>
          <w:sz w:val="32"/>
          <w:szCs w:val="32"/>
        </w:rPr>
        <w:t>年</w:t>
      </w:r>
      <w:r>
        <w:rPr>
          <w:rFonts w:eastAsia="方正仿宋_GBK"/>
          <w:sz w:val="32"/>
          <w:szCs w:val="32"/>
        </w:rPr>
        <w:t>无</w:t>
      </w:r>
      <w:r>
        <w:rPr>
          <w:rFonts w:eastAsia="方正仿宋_GBK" w:hint="eastAsia"/>
          <w:sz w:val="32"/>
          <w:szCs w:val="32"/>
        </w:rPr>
        <w:t>政府性</w:t>
      </w:r>
      <w:r>
        <w:rPr>
          <w:rFonts w:eastAsia="方正仿宋_GBK"/>
          <w:sz w:val="32"/>
          <w:szCs w:val="32"/>
        </w:rPr>
        <w:t>基金</w:t>
      </w:r>
      <w:r>
        <w:rPr>
          <w:rFonts w:eastAsia="方正仿宋_GBK" w:hint="eastAsia"/>
          <w:sz w:val="32"/>
          <w:szCs w:val="32"/>
        </w:rPr>
        <w:t>预算</w:t>
      </w:r>
      <w:r>
        <w:rPr>
          <w:rFonts w:eastAsia="方正仿宋_GBK"/>
          <w:sz w:val="32"/>
          <w:szCs w:val="32"/>
        </w:rPr>
        <w:t>收支。</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马尾</w:t>
      </w:r>
      <w:r>
        <w:rPr>
          <w:rFonts w:eastAsia="方正黑体_GBK" w:hint="eastAsia"/>
          <w:sz w:val="32"/>
          <w:szCs w:val="32"/>
        </w:rPr>
        <w:t>海关202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马尾</w:t>
      </w:r>
      <w:r>
        <w:rPr>
          <w:rFonts w:eastAsia="方正仿宋_GBK" w:hint="eastAsia"/>
          <w:sz w:val="32"/>
          <w:szCs w:val="32"/>
        </w:rPr>
        <w:t>海关政府采购预算总额</w:t>
      </w:r>
      <w:r>
        <w:rPr>
          <w:rFonts w:eastAsia="方正仿宋_GBK"/>
          <w:sz w:val="32"/>
          <w:szCs w:val="32"/>
        </w:rPr>
        <w:t>58.21</w:t>
      </w:r>
      <w:r>
        <w:rPr>
          <w:rFonts w:eastAsia="方正仿宋_GBK" w:hint="eastAsia"/>
          <w:sz w:val="32"/>
          <w:szCs w:val="32"/>
        </w:rPr>
        <w:t>万元，其中：政府采购货物预算</w:t>
      </w:r>
      <w:r>
        <w:rPr>
          <w:rFonts w:eastAsia="方正仿宋_GBK"/>
          <w:sz w:val="32"/>
          <w:szCs w:val="32"/>
        </w:rPr>
        <w:t>58.21</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（二）国有资产占有使用情况。</w:t>
      </w:r>
    </w:p>
    <w:p>
      <w:pPr>
        <w:pStyle w:val="4213"/>
        <w:spacing w:line="560" w:lineRule="exact"/>
        <w:ind w:firstLineChars="200" w:firstLine="640"/>
        <w:rPr>
          <w:rFonts w:eastAsia="方正仿宋_GBK"/>
          <w:color w:val="000000"/>
          <w:sz w:val="32"/>
          <w:szCs w:val="32"/>
        </w:rPr>
      </w:pPr>
      <w:r>
        <w:rPr>
          <w:rFonts w:eastAsia="方正仿宋_GBK" w:hint="eastAsia"/>
          <w:sz w:val="32"/>
          <w:szCs w:val="32"/>
        </w:rPr>
        <w:t>截至202</w:t>
      </w:r>
      <w:r>
        <w:rPr>
          <w:rFonts w:eastAsia="方正仿宋_GBK"/>
          <w:sz w:val="32"/>
          <w:szCs w:val="32"/>
        </w:rPr>
        <w:t>4</w:t>
      </w:r>
      <w:r>
        <w:rPr>
          <w:rFonts w:eastAsia="方正仿宋_GBK" w:hint="eastAsia"/>
          <w:sz w:val="32"/>
          <w:szCs w:val="32"/>
        </w:rPr>
        <w:t>年</w:t>
      </w:r>
      <w:r>
        <w:rPr>
          <w:rFonts w:eastAsia="方正仿宋_GBK"/>
          <w:sz w:val="32"/>
          <w:szCs w:val="32"/>
        </w:rPr>
        <w:t>7</w:t>
      </w:r>
      <w:r>
        <w:rPr>
          <w:rFonts w:eastAsia="方正仿宋_GBK" w:hint="eastAsia"/>
          <w:sz w:val="32"/>
          <w:szCs w:val="32"/>
        </w:rPr>
        <w:t>月31日，</w:t>
      </w:r>
      <w:r>
        <w:rPr>
          <w:rFonts w:eastAsia="方正仿宋_GBK"/>
          <w:sz w:val="32"/>
          <w:szCs w:val="32"/>
        </w:rPr>
        <w:t>马尾</w:t>
      </w:r>
      <w:r>
        <w:rPr>
          <w:rFonts w:eastAsia="方正仿宋_GBK" w:hint="eastAsia"/>
          <w:sz w:val="32"/>
          <w:szCs w:val="32"/>
        </w:rPr>
        <w:t>海关共有车辆</w:t>
      </w:r>
      <w:r>
        <w:rPr>
          <w:rFonts w:eastAsia="方正仿宋_GBK"/>
          <w:sz w:val="32"/>
          <w:szCs w:val="32"/>
        </w:rPr>
        <w:t>15</w:t>
      </w:r>
      <w:r>
        <w:rPr>
          <w:rFonts w:eastAsia="方正仿宋_GBK" w:hint="eastAsia"/>
          <w:sz w:val="32"/>
          <w:szCs w:val="32"/>
        </w:rPr>
        <w:t>辆，其中，机要通信用车</w:t>
      </w:r>
      <w:r>
        <w:rPr>
          <w:rFonts w:eastAsia="方正仿宋_GBK"/>
          <w:sz w:val="32"/>
          <w:szCs w:val="32"/>
        </w:rPr>
        <w:t>2</w:t>
      </w:r>
      <w:r>
        <w:rPr>
          <w:rFonts w:eastAsia="方正仿宋_GBK" w:hint="eastAsia"/>
          <w:sz w:val="32"/>
          <w:szCs w:val="32"/>
        </w:rPr>
        <w:t>辆、应急保障用车</w:t>
      </w:r>
      <w:r>
        <w:rPr>
          <w:rFonts w:eastAsia="方正仿宋_GBK"/>
          <w:sz w:val="32"/>
          <w:szCs w:val="32"/>
        </w:rPr>
        <w:t>1</w:t>
      </w:r>
      <w:r>
        <w:rPr>
          <w:rFonts w:eastAsia="方正仿宋_GBK" w:hint="eastAsia"/>
          <w:sz w:val="32"/>
          <w:szCs w:val="32"/>
        </w:rPr>
        <w:t>辆、执法执勤用车</w:t>
      </w:r>
      <w:r>
        <w:rPr>
          <w:rFonts w:eastAsia="方正仿宋_GBK"/>
          <w:sz w:val="32"/>
          <w:szCs w:val="32"/>
        </w:rPr>
        <w:t>12</w:t>
      </w:r>
      <w:r>
        <w:rPr>
          <w:rFonts w:eastAsia="方正仿宋_GBK" w:hint="eastAsia"/>
          <w:sz w:val="32"/>
          <w:szCs w:val="32"/>
        </w:rPr>
        <w:t>辆。单</w:t>
      </w:r>
      <w:r>
        <w:rPr>
          <w:rFonts w:eastAsia="方正仿宋_GBK" w:hint="eastAsia"/>
          <w:color w:val="000000"/>
          <w:sz w:val="32"/>
          <w:szCs w:val="32"/>
        </w:rPr>
        <w:t>位价值100万元以上的设备</w:t>
      </w:r>
      <w:r>
        <w:rPr>
          <w:rFonts w:eastAsia="方正仿宋_GBK"/>
          <w:sz w:val="32"/>
          <w:szCs w:val="32"/>
        </w:rPr>
        <w:t>4</w:t>
      </w:r>
      <w:r>
        <w:rPr>
          <w:rFonts w:eastAsia="方正仿宋_GBK" w:hint="eastAsia"/>
          <w:color w:val="000000"/>
          <w:sz w:val="32"/>
          <w:szCs w:val="32"/>
        </w:rPr>
        <w:t>台（套）。</w:t>
      </w:r>
    </w:p>
    <w:p>
      <w:pPr>
        <w:spacing w:line="560" w:lineRule="exact"/>
        <w:ind w:firstLineChars="200" w:firstLine="640"/>
        <w:rPr>
          <w:rFonts w:eastAsia="方正仿宋_GBK" w:hint="eastAsia"/>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年部门预算安排购置车辆</w:t>
      </w:r>
      <w:r>
        <w:rPr>
          <w:rFonts w:eastAsia="方正仿宋_GBK"/>
          <w:sz w:val="32"/>
          <w:szCs w:val="32"/>
        </w:rPr>
        <w:t>1</w:t>
      </w:r>
      <w:r>
        <w:rPr>
          <w:rFonts w:eastAsia="方正仿宋_GBK" w:hint="eastAsia"/>
          <w:sz w:val="32"/>
          <w:szCs w:val="32"/>
        </w:rPr>
        <w:t>辆，</w:t>
      </w:r>
      <w:r>
        <w:rPr>
          <w:rFonts w:eastAsia="方正仿宋_GBK"/>
          <w:sz w:val="32"/>
          <w:szCs w:val="32"/>
        </w:rPr>
        <w:t>为</w:t>
      </w:r>
      <w:r>
        <w:rPr>
          <w:rFonts w:eastAsia="方正仿宋_GBK" w:hint="eastAsia"/>
          <w:sz w:val="32"/>
          <w:szCs w:val="32"/>
        </w:rPr>
        <w:t>执法执勤用车。</w:t>
      </w:r>
      <w:r>
        <w:rPr>
          <w:rFonts w:eastAsia="方正仿宋_GBK"/>
          <w:sz w:val="32"/>
          <w:szCs w:val="32"/>
        </w:rPr>
        <w:t>本年</w:t>
      </w:r>
      <w:r>
        <w:rPr>
          <w:rFonts w:eastAsia="方正仿宋_GBK" w:hint="eastAsia"/>
          <w:sz w:val="32"/>
          <w:szCs w:val="32"/>
        </w:rPr>
        <w:t>计划报废一辆公务用车，编制数保持不变。</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（三）预算绩效情况说明。</w:t>
      </w:r>
    </w:p>
    <w:p>
      <w:pPr>
        <w:spacing w:line="560" w:lineRule="exact"/>
        <w:ind w:firstLineChars="200" w:firstLine="640"/>
        <w:rPr>
          <w:rFonts w:eastAsia="方正仿宋_GBK"/>
          <w:sz w:val="32"/>
          <w:szCs w:val="32"/>
        </w:rPr>
      </w:pPr>
      <w:r>
        <w:rPr>
          <w:rFonts w:eastAsia="方正仿宋_GBK" w:hint="eastAsia"/>
          <w:sz w:val="32"/>
          <w:szCs w:val="32"/>
        </w:rPr>
        <w:t>2025年</w:t>
      </w:r>
      <w:r>
        <w:rPr>
          <w:rFonts w:eastAsia="方正仿宋_GBK"/>
          <w:sz w:val="32"/>
          <w:szCs w:val="32"/>
        </w:rPr>
        <w:t>马尾海关</w:t>
      </w:r>
      <w:r>
        <w:rPr>
          <w:rFonts w:eastAsia="方正仿宋_GBK" w:hint="eastAsia"/>
          <w:sz w:val="32"/>
          <w:szCs w:val="32"/>
        </w:rPr>
        <w:t>对一般公共预算拨款项目全面实施绩效目标管理，涉及一般公共预算拨款</w:t>
      </w:r>
      <w:r>
        <w:rPr>
          <w:rFonts w:eastAsia="方正仿宋_GBK"/>
          <w:sz w:val="32"/>
          <w:szCs w:val="32"/>
        </w:rPr>
        <w:t>337.53</w:t>
      </w:r>
      <w:r>
        <w:rPr>
          <w:rFonts w:eastAsia="方正仿宋_GBK" w:hint="eastAsia"/>
          <w:sz w:val="32"/>
          <w:szCs w:val="32"/>
        </w:rPr>
        <w:t>万元，</w:t>
      </w:r>
      <w:r>
        <w:rPr>
          <w:rFonts w:eastAsia="方正仿宋_GBK"/>
          <w:sz w:val="32"/>
          <w:szCs w:val="32"/>
        </w:rPr>
        <w:t>涉及</w:t>
      </w:r>
      <w:r>
        <w:rPr>
          <w:rFonts w:eastAsia="方正仿宋_GBK" w:hint="eastAsia"/>
          <w:sz w:val="32"/>
          <w:szCs w:val="32"/>
        </w:rPr>
        <w:t>项目</w:t>
      </w:r>
      <w:r>
        <w:rPr>
          <w:rFonts w:eastAsia="方正仿宋_GBK"/>
          <w:sz w:val="32"/>
          <w:szCs w:val="32"/>
        </w:rPr>
        <w:t>9</w:t>
      </w:r>
      <w:r>
        <w:rPr>
          <w:rFonts w:eastAsia="方正仿宋_GBK" w:hint="eastAsia"/>
          <w:sz w:val="32"/>
          <w:szCs w:val="32"/>
        </w:rPr>
        <w:t>个。</w:t>
      </w:r>
    </w:p>
    <w:p>
      <w:pPr>
        <w:keepNext w:val="0"/>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海关在2025年度部门预算中反映</w:t>
      </w:r>
      <w:r>
        <w:rPr>
          <w:rFonts w:eastAsia="方正仿宋_GBK"/>
          <w:sz w:val="32"/>
          <w:szCs w:val="32"/>
        </w:rPr>
        <w:t>8</w:t>
      </w:r>
      <w:r>
        <w:rPr>
          <w:rFonts w:eastAsia="方正仿宋_GBK" w:hint="eastAsia"/>
          <w:sz w:val="32"/>
          <w:szCs w:val="32"/>
        </w:rPr>
        <w:t>个项目绩效目标表，</w:t>
      </w:r>
      <w:r>
        <w:rPr>
          <w:rFonts w:eastAsia="方正仿宋_GBK"/>
          <w:sz w:val="32"/>
          <w:szCs w:val="32"/>
        </w:rPr>
        <w:t>详</w:t>
      </w:r>
      <w:r>
        <w:rPr>
          <w:rFonts w:eastAsia="方正仿宋_GBK" w:hint="eastAsia"/>
          <w:sz w:val="32"/>
          <w:szCs w:val="32"/>
        </w:rPr>
        <w:t>见第五部分附件。</w:t>
      </w:r>
      <w:r>
        <w:rPr>
          <w:rFonts w:eastAsia="方正仿宋_GBK"/>
          <w:sz w:val="32"/>
          <w:szCs w:val="32"/>
        </w:rPr>
        <w:br w:type="page"/>
      </w:r>
    </w:p>
    <w:p>
      <w:pPr>
        <w:spacing w:line="560" w:lineRule="exact"/>
        <w:ind w:firstLineChars="200" w:firstLine="640"/>
        <w:rPr>
          <w:rFonts w:eastAsia="方正仿宋_GBK"/>
          <w:sz w:val="32"/>
          <w:szCs w:val="32"/>
        </w:rPr>
      </w:pPr>
    </w:p>
    <w:p>
      <w:pPr>
        <w:spacing w:line="560" w:lineRule="exact"/>
        <w:rPr>
          <w:rFonts w:eastAsia="方正仿宋_GBK"/>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bookmarkStart w:id="1" w:name="_GoBack"/>
      <w:bookmarkEnd w:id="1"/>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pPr>
        <w:spacing w:line="560" w:lineRule="exact"/>
        <w:ind w:firstLineChars="200" w:firstLine="640"/>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pPr>
        <w:spacing w:line="560" w:lineRule="exact"/>
        <w:ind w:firstLineChars="200" w:firstLine="640"/>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pPr>
        <w:spacing w:line="560" w:lineRule="exact"/>
        <w:ind w:firstLineChars="200" w:firstLine="640"/>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pPr>
        <w:spacing w:line="560" w:lineRule="exact"/>
        <w:ind w:firstLineChars="200" w:firstLine="640"/>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：反映以我国政府或海关总署名义，向国际组织的认捐、救灾、馈赠等支出。</w:t>
      </w:r>
    </w:p>
    <w:p>
      <w:pPr>
        <w:spacing w:line="560" w:lineRule="exact"/>
        <w:ind w:firstLineChars="200" w:firstLine="640"/>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pPr>
        <w:spacing w:line="560" w:lineRule="exact"/>
        <w:ind w:firstLineChars="200" w:firstLine="640"/>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spacing w:line="560" w:lineRule="exact"/>
        <w:ind w:firstLineChars="200" w:firstLine="640"/>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spacing w:line="560" w:lineRule="exact"/>
        <w:ind w:firstLineChars="200" w:firstLine="640"/>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pPr>
        <w:spacing w:line="560" w:lineRule="exact"/>
        <w:ind w:firstLineChars="200" w:firstLine="640"/>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185"/>
        <w:gridCol w:w="1950"/>
        <w:gridCol w:w="900"/>
        <w:gridCol w:w="2310"/>
        <w:gridCol w:w="1440"/>
        <w:gridCol w:w="1350"/>
      </w:tblGrid>
      <w:tr>
        <w:trPr>
          <w:trHeight w:val="704"/>
        </w:trPr>
        <w:tc>
          <w:tcPr>
            <w:tcW w:w="976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76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81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95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434"/>
        </w:trPr>
        <w:tc>
          <w:tcPr>
            <w:tcW w:w="181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85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7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81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815" w:type="dxa"/>
            <w:gridSpan w:val="2"/>
            <w:vMerge/>
            <w:tcBorders>
              <w:top w:val="nil"/>
              <w:left w:val="single" w:sz="6" w:space="0" w:color="auto"/>
              <w:bottom w:val="nil"/>
              <w:right w:val="single" w:sz="6" w:space="0" w:color="auto"/>
              <w:tl2br w:val="nil"/>
              <w:tr2bl w:val="nil"/>
            </w:tcBorders>
            <w:noWrap/>
            <w:vAlign w:val="center"/>
          </w:tcP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7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815" w:type="dxa"/>
            <w:gridSpan w:val="2"/>
            <w:vMerge/>
            <w:tcBorders>
              <w:top w:val="nil"/>
              <w:left w:val="single" w:sz="6" w:space="0" w:color="auto"/>
              <w:bottom w:val="nil"/>
              <w:right w:val="single" w:sz="6" w:space="0" w:color="auto"/>
              <w:tl2br w:val="nil"/>
              <w:tr2bl w:val="nil"/>
            </w:tcBorders>
            <w:noWrap/>
            <w:vAlign w:val="center"/>
          </w:tcP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7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81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7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13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依据《中华人民共和国进出口商品检验法》及其实施条例等法律法规，保障海关履行进出口商品检验监管职能，有效开展进出口商品质量安全检验监管工作，严守质量安全底线，维护国门安全，促进跨境贸易便利化。</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9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85"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9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有危化品检验监管资质的人员数量</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≥1人</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85" w:type="dxa"/>
            <w:vMerge/>
            <w:tcBorders>
              <w:top w:val="single" w:sz="6" w:space="0" w:color="auto"/>
              <w:left w:val="nil"/>
              <w:bottom w:val="single" w:sz="6" w:space="0" w:color="auto"/>
              <w:right w:val="single" w:sz="6" w:space="0" w:color="auto"/>
              <w:tl2br w:val="nil"/>
              <w:tr2bl w:val="nil"/>
            </w:tcBorders>
            <w:noWrap/>
            <w:vAlign w:val="center"/>
          </w:tcPr>
          <w:p/>
        </w:tc>
        <w:tc>
          <w:tcPr>
            <w:tcW w:w="19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≥1项</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86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85" w:type="dxa"/>
            <w:vMerge/>
            <w:tcBorders>
              <w:top w:val="single" w:sz="6" w:space="0" w:color="auto"/>
              <w:left w:val="nil"/>
              <w:bottom w:val="single" w:sz="6" w:space="0" w:color="auto"/>
              <w:right w:val="single" w:sz="6" w:space="0" w:color="auto"/>
              <w:tl2br w:val="nil"/>
              <w:tr2bl w:val="nil"/>
            </w:tcBorders>
            <w:noWrap/>
            <w:vAlign w:val="center"/>
          </w:tcPr>
          <w:p/>
        </w:tc>
        <w:tc>
          <w:tcPr>
            <w:tcW w:w="19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对检验进口大宗资源类商品不合格处置率</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5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85" w:type="dxa"/>
            <w:vMerge/>
            <w:tcBorders>
              <w:top w:val="single" w:sz="6" w:space="0" w:color="auto"/>
              <w:left w:val="nil"/>
              <w:bottom w:val="single" w:sz="6" w:space="0" w:color="auto"/>
              <w:right w:val="single" w:sz="6" w:space="0" w:color="auto"/>
              <w:tl2br w:val="nil"/>
              <w:tr2bl w:val="nil"/>
            </w:tcBorders>
            <w:noWrap/>
            <w:vAlign w:val="center"/>
          </w:tcPr>
          <w:p/>
        </w:tc>
        <w:tc>
          <w:tcPr>
            <w:tcW w:w="19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开展重点商品质量安全状况分析按计划完成率</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85" w:type="dxa"/>
            <w:vMerge/>
            <w:tcBorders>
              <w:top w:val="single" w:sz="6" w:space="0" w:color="auto"/>
              <w:left w:val="nil"/>
              <w:bottom w:val="single" w:sz="6" w:space="0" w:color="auto"/>
              <w:right w:val="single" w:sz="6" w:space="0" w:color="auto"/>
              <w:tl2br w:val="nil"/>
              <w:tr2bl w:val="nil"/>
            </w:tcBorders>
            <w:noWrap/>
            <w:vAlign w:val="center"/>
          </w:tcPr>
          <w:p/>
        </w:tc>
        <w:tc>
          <w:tcPr>
            <w:tcW w:w="19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进口大宗资源类商品检验监管率</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8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9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保障人民生命健康安全有力有效</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82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8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9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2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进出口企业满意度（%）</w:t>
            </w:r>
          </w:p>
        </w:tc>
        <w:tc>
          <w:tcPr>
            <w:tcW w:w="144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155"/>
        <w:gridCol w:w="2055"/>
        <w:gridCol w:w="1005"/>
        <w:gridCol w:w="1860"/>
        <w:gridCol w:w="1590"/>
        <w:gridCol w:w="1230"/>
      </w:tblGrid>
      <w:tr>
        <w:trPr>
          <w:trHeight w:val="704"/>
        </w:trPr>
        <w:tc>
          <w:tcPr>
            <w:tcW w:w="952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52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7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74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929"/>
        </w:trPr>
        <w:tc>
          <w:tcPr>
            <w:tcW w:w="17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6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78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4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1.13 </w:t>
            </w:r>
          </w:p>
        </w:tc>
        <w:tc>
          <w:tcPr>
            <w:tcW w:w="123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785" w:type="dxa"/>
            <w:gridSpan w:val="2"/>
            <w:vMerge/>
            <w:tcBorders>
              <w:top w:val="nil"/>
              <w:left w:val="single" w:sz="6" w:space="0" w:color="auto"/>
              <w:bottom w:val="nil"/>
              <w:right w:val="single" w:sz="6" w:space="0" w:color="auto"/>
              <w:tl2br w:val="nil"/>
              <w:tr2bl w:val="nil"/>
            </w:tcBorders>
            <w:noWrap/>
            <w:vAlign w:val="center"/>
          </w:tcPr>
          <w:p/>
        </w:tc>
        <w:tc>
          <w:tcPr>
            <w:tcW w:w="30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4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1.13 </w:t>
            </w:r>
          </w:p>
        </w:tc>
        <w:tc>
          <w:tcPr>
            <w:tcW w:w="1230" w:type="dxa"/>
            <w:vMerge/>
            <w:tcBorders>
              <w:top w:val="nil"/>
              <w:left w:val="single" w:sz="6" w:space="0" w:color="auto"/>
              <w:bottom w:val="nil"/>
              <w:right w:val="single" w:sz="6" w:space="0" w:color="auto"/>
              <w:tl2br w:val="nil"/>
              <w:tr2bl w:val="nil"/>
            </w:tcBorders>
            <w:noWrap/>
            <w:vAlign w:val="center"/>
          </w:tcPr>
          <w:p/>
        </w:tc>
      </w:tr>
      <w:tr>
        <w:trPr>
          <w:trHeight w:val="434"/>
        </w:trPr>
        <w:tc>
          <w:tcPr>
            <w:tcW w:w="1785" w:type="dxa"/>
            <w:gridSpan w:val="2"/>
            <w:vMerge/>
            <w:tcBorders>
              <w:top w:val="nil"/>
              <w:left w:val="single" w:sz="6" w:space="0" w:color="auto"/>
              <w:bottom w:val="nil"/>
              <w:right w:val="single" w:sz="6" w:space="0" w:color="auto"/>
              <w:tl2br w:val="nil"/>
              <w:tr2bl w:val="nil"/>
            </w:tcBorders>
            <w:noWrap/>
            <w:vAlign w:val="center"/>
          </w:tcPr>
          <w:p/>
        </w:tc>
        <w:tc>
          <w:tcPr>
            <w:tcW w:w="30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4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30" w:type="dxa"/>
            <w:vMerge/>
            <w:tcBorders>
              <w:top w:val="nil"/>
              <w:left w:val="single" w:sz="6" w:space="0" w:color="auto"/>
              <w:bottom w:val="nil"/>
              <w:right w:val="single" w:sz="6" w:space="0" w:color="auto"/>
              <w:tl2br w:val="nil"/>
              <w:tr2bl w:val="nil"/>
            </w:tcBorders>
            <w:noWrap/>
            <w:vAlign w:val="center"/>
          </w:tcPr>
          <w:p/>
        </w:tc>
      </w:tr>
      <w:tr>
        <w:trPr>
          <w:trHeight w:val="434"/>
        </w:trPr>
        <w:tc>
          <w:tcPr>
            <w:tcW w:w="178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45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3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89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通过购买第三方仓储服务，妥善保管涉案财物，确保海关缉私工作正常开展，进一步维护社会稳定，保障国家安全。</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5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59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3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55"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保障缉私机构数量（个）</w:t>
            </w:r>
          </w:p>
        </w:tc>
        <w:tc>
          <w:tcPr>
            <w:tcW w:w="159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23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92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55"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保障涉案财物仓储场所数量</w:t>
            </w:r>
          </w:p>
        </w:tc>
        <w:tc>
          <w:tcPr>
            <w:tcW w:w="159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≥2个</w:t>
            </w:r>
          </w:p>
        </w:tc>
        <w:tc>
          <w:tcPr>
            <w:tcW w:w="123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55"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缉私业务资金保障率</w:t>
            </w:r>
          </w:p>
        </w:tc>
        <w:tc>
          <w:tcPr>
            <w:tcW w:w="159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3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77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15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涉案物品处置率</w:t>
            </w:r>
          </w:p>
        </w:tc>
        <w:tc>
          <w:tcPr>
            <w:tcW w:w="159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≥30%</w:t>
            </w:r>
          </w:p>
        </w:tc>
        <w:tc>
          <w:tcPr>
            <w:tcW w:w="123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pPr>
      <w: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1875"/>
        <w:gridCol w:w="945"/>
        <w:gridCol w:w="2310"/>
        <w:gridCol w:w="1425"/>
        <w:gridCol w:w="1185"/>
      </w:tblGrid>
      <w:tr>
        <w:trPr>
          <w:trHeight w:val="704"/>
        </w:trPr>
        <w:tc>
          <w:tcPr>
            <w:tcW w:w="972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72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74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8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61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15.00 </w:t>
            </w:r>
          </w:p>
        </w:tc>
        <w:tc>
          <w:tcPr>
            <w:tcW w:w="1185"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7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15.00 </w:t>
            </w:r>
          </w:p>
        </w:tc>
        <w:tc>
          <w:tcPr>
            <w:tcW w:w="118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7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7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5" w:type="dxa"/>
            <w:vMerge/>
            <w:tcBorders>
              <w:top w:val="nil"/>
              <w:left w:val="single" w:sz="6" w:space="0" w:color="auto"/>
              <w:bottom w:val="single" w:sz="6" w:space="0" w:color="auto"/>
              <w:right w:val="single" w:sz="6" w:space="0" w:color="auto"/>
              <w:tl2br w:val="nil"/>
              <w:tr2bl w:val="nil"/>
            </w:tcBorders>
            <w:noWrap/>
            <w:vAlign w:val="center"/>
          </w:tcPr>
          <w:p/>
        </w:tc>
      </w:tr>
      <w:tr>
        <w:trPr>
          <w:trHeight w:val="3029"/>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09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目标1：对福州对台综合客运码头旅检监管现场现有监管查验技术装备维修维护，完善提升口岸进出境监管查验能力，提高通关便利化水平；</w:t>
            </w:r>
          </w:p>
          <w:p>
            <w:pPr>
              <w:rPr>
                <w:rFonts w:ascii="宋体" w:eastAsia="宋体" w:cs="宋体"/>
                <w:sz w:val="22"/>
              </w:rPr>
            </w:pPr>
            <w:r>
              <w:rPr>
                <w:rFonts w:ascii="宋体" w:eastAsia="宋体" w:cs="宋体"/>
                <w:sz w:val="22"/>
              </w:rPr>
              <w:t>目标2：保障对台旅检现场海关监管装备运行维护经费，确保监管装备正常可用，有效支撑旅检现场的进出境监管工作正常进行。</w:t>
            </w:r>
          </w:p>
          <w:p>
            <w:pPr>
              <w:rPr>
                <w:rFonts w:ascii="宋体" w:eastAsia="宋体" w:cs="宋体"/>
                <w:sz w:val="22"/>
              </w:rPr>
            </w:pPr>
            <w:r>
              <w:rPr>
                <w:rFonts w:ascii="宋体" w:eastAsia="宋体" w:cs="宋体"/>
                <w:sz w:val="22"/>
              </w:rPr>
              <w:t>目标3：为H986设备及配套的售后维修保养及相关保障专题项目，充分发挥H986大型集装箱检查系统的图像清晰、准确、快速、查验非侵入的特点，提高口岸通关效能，提高查验效率。</w:t>
              <w:tab/>
              <w:tab/>
            </w:r>
          </w:p>
          <w:p>
            <w:pPr>
              <w:rPr>
                <w:rFonts w:ascii="宋体" w:eastAsia="宋体" w:cs="宋体"/>
                <w:sz w:val="22"/>
              </w:rPr>
            </w:pP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8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2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4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87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2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运维办公或监管场所（个）</w:t>
            </w:r>
          </w:p>
        </w:tc>
        <w:tc>
          <w:tcPr>
            <w:tcW w:w="142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87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运维H986等大型设备数量</w:t>
            </w:r>
          </w:p>
        </w:tc>
        <w:tc>
          <w:tcPr>
            <w:tcW w:w="142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≥1台</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71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8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2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H986大型监管查验设备全年正常运行率（%）</w:t>
            </w:r>
          </w:p>
        </w:tc>
        <w:tc>
          <w:tcPr>
            <w:tcW w:w="142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8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2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大型设备维修及时率（%）</w:t>
            </w:r>
          </w:p>
        </w:tc>
        <w:tc>
          <w:tcPr>
            <w:tcW w:w="142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8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生态效益指标</w:t>
            </w:r>
          </w:p>
        </w:tc>
        <w:tc>
          <w:tcPr>
            <w:tcW w:w="32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无纸化通关作业率（%）</w:t>
            </w:r>
          </w:p>
        </w:tc>
        <w:tc>
          <w:tcPr>
            <w:tcW w:w="142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77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8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2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设备使用人员满意度（%）</w:t>
            </w:r>
          </w:p>
        </w:tc>
        <w:tc>
          <w:tcPr>
            <w:tcW w:w="142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1860"/>
        <w:gridCol w:w="960"/>
        <w:gridCol w:w="1890"/>
        <w:gridCol w:w="1545"/>
        <w:gridCol w:w="1170"/>
      </w:tblGrid>
      <w:tr>
        <w:trPr>
          <w:trHeight w:val="704"/>
        </w:trPr>
        <w:tc>
          <w:tcPr>
            <w:tcW w:w="940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40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42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8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71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4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73.41 </w:t>
            </w:r>
          </w:p>
        </w:tc>
        <w:tc>
          <w:tcPr>
            <w:tcW w:w="117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4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73.41 </w:t>
            </w:r>
          </w:p>
        </w:tc>
        <w:tc>
          <w:tcPr>
            <w:tcW w:w="117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4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7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8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4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70" w:type="dxa"/>
            <w:vMerge/>
            <w:tcBorders>
              <w:top w:val="nil"/>
              <w:left w:val="single" w:sz="6" w:space="0" w:color="auto"/>
              <w:bottom w:val="single" w:sz="6" w:space="0" w:color="auto"/>
              <w:right w:val="single" w:sz="6" w:space="0" w:color="auto"/>
              <w:tl2br w:val="nil"/>
              <w:tr2bl w:val="nil"/>
            </w:tcBorders>
            <w:noWrap/>
            <w:vAlign w:val="center"/>
          </w:tcPr>
          <w:p/>
        </w:tc>
      </w:tr>
      <w:tr>
        <w:trPr>
          <w:trHeight w:val="2669"/>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77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1、坚持合理分配使用原则，做好专用技术设备日常报废更新、修理维护工作。提高数据网络安全性，实现网络使用权精准控制。</w:t>
            </w:r>
          </w:p>
          <w:p>
            <w:pPr>
              <w:rPr>
                <w:rFonts w:ascii="宋体" w:eastAsia="宋体" w:cs="宋体"/>
                <w:sz w:val="22"/>
              </w:rPr>
            </w:pPr>
            <w:r>
              <w:rPr>
                <w:rFonts w:ascii="宋体" w:eastAsia="宋体" w:cs="宋体"/>
                <w:sz w:val="22"/>
              </w:rPr>
              <w:t>2、福州对台综合客运码头(琅岐旅检现场)现有X射线查验设备因配置年限久远设备老化而故障频发，为满足旅检现场正常监管需求，现需采购X射线设备维保服务，保障设备正常运行。</w:t>
            </w:r>
          </w:p>
          <w:p>
            <w:pPr>
              <w:rPr>
                <w:rFonts w:ascii="宋体" w:eastAsia="宋体" w:cs="宋体"/>
                <w:sz w:val="22"/>
              </w:rPr>
            </w:pPr>
            <w:r>
              <w:rPr>
                <w:rFonts w:ascii="宋体" w:eastAsia="宋体" w:cs="宋体"/>
                <w:sz w:val="22"/>
              </w:rPr>
              <w:t>3、保障业务用房和三级指挥中心信息系统相关网络及主机设备、服务器设备、视频监控以及现有的信息系统的正常运行，提高网络信息系统的整体工作水平。</w:t>
            </w:r>
          </w:p>
          <w:p>
            <w:pPr>
              <w:rPr>
                <w:rFonts w:ascii="宋体" w:eastAsia="宋体" w:cs="宋体"/>
                <w:sz w:val="22"/>
              </w:rPr>
            </w:pP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运维设备数量</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≥2台</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≥97%</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大型设备维修及时率</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≥99%</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经济效益指标</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保障监管业务现场正常运行</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8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关区核心业务基础保障能力</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86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无纸化通关率</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12</w:t>
            </w:r>
          </w:p>
        </w:tc>
      </w:tr>
      <w:tr>
        <w:trPr>
          <w:trHeight w:val="94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8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设备使用人员满意度</w:t>
            </w:r>
          </w:p>
        </w:tc>
        <w:tc>
          <w:tcPr>
            <w:tcW w:w="154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7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115"/>
        <w:gridCol w:w="915"/>
        <w:gridCol w:w="2310"/>
        <w:gridCol w:w="1635"/>
        <w:gridCol w:w="1245"/>
      </w:tblGrid>
      <w:tr>
        <w:trPr>
          <w:trHeight w:val="704"/>
        </w:trPr>
        <w:tc>
          <w:tcPr>
            <w:tcW w:w="1020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020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22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3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实施单位</w:t>
            </w:r>
          </w:p>
        </w:tc>
        <w:tc>
          <w:tcPr>
            <w:tcW w:w="28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174.29 </w:t>
            </w:r>
          </w:p>
        </w:tc>
        <w:tc>
          <w:tcPr>
            <w:tcW w:w="1245"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0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9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174.29 </w:t>
            </w:r>
          </w:p>
        </w:tc>
        <w:tc>
          <w:tcPr>
            <w:tcW w:w="124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0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9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4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9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45"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年</w:t>
            </w:r>
          </w:p>
          <w:p>
            <w:pPr>
              <w:jc w:val="center"/>
              <w:rPr>
                <w:rFonts w:ascii="宋体" w:eastAsia="宋体" w:cs="宋体"/>
                <w:sz w:val="22"/>
              </w:rPr>
            </w:pPr>
            <w:r>
              <w:rPr>
                <w:rFonts w:ascii="宋体" w:eastAsia="宋体" w:cs="宋体"/>
                <w:sz w:val="22"/>
              </w:rPr>
              <w:t>度</w:t>
            </w:r>
          </w:p>
          <w:p>
            <w:pPr>
              <w:jc w:val="center"/>
              <w:rPr>
                <w:rFonts w:ascii="宋体" w:eastAsia="宋体" w:cs="宋体"/>
                <w:sz w:val="22"/>
              </w:rPr>
            </w:pPr>
            <w:r>
              <w:rPr>
                <w:rFonts w:ascii="宋体" w:eastAsia="宋体" w:cs="宋体"/>
                <w:sz w:val="22"/>
              </w:rPr>
              <w:t>总</w:t>
            </w:r>
          </w:p>
          <w:p>
            <w:pPr>
              <w:jc w:val="center"/>
              <w:rPr>
                <w:rFonts w:ascii="宋体" w:eastAsia="宋体" w:cs="宋体"/>
                <w:sz w:val="22"/>
              </w:rPr>
            </w:pPr>
            <w:r>
              <w:rPr>
                <w:rFonts w:ascii="宋体" w:eastAsia="宋体" w:cs="宋体"/>
                <w:sz w:val="22"/>
              </w:rPr>
              <w:t>体</w:t>
            </w:r>
          </w:p>
          <w:p>
            <w:pPr>
              <w:jc w:val="center"/>
              <w:rPr>
                <w:rFonts w:ascii="宋体" w:eastAsia="宋体" w:cs="宋体"/>
                <w:sz w:val="22"/>
              </w:rPr>
            </w:pPr>
            <w:r>
              <w:rPr>
                <w:rFonts w:ascii="宋体" w:eastAsia="宋体" w:cs="宋体"/>
                <w:sz w:val="22"/>
              </w:rPr>
              <w:t>目</w:t>
            </w:r>
          </w:p>
          <w:p>
            <w:pPr>
              <w:jc w:val="center"/>
              <w:rPr>
                <w:rFonts w:ascii="宋体" w:eastAsia="宋体" w:cs="宋体"/>
                <w:sz w:val="22"/>
              </w:rPr>
            </w:pPr>
            <w:r>
              <w:rPr>
                <w:rFonts w:ascii="宋体" w:eastAsia="宋体" w:cs="宋体"/>
                <w:sz w:val="22"/>
              </w:rPr>
              <w:t>标</w:t>
            </w:r>
          </w:p>
        </w:tc>
        <w:tc>
          <w:tcPr>
            <w:tcW w:w="957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马尾关区行政执法技术支持的能力储备和其他支出需求，提升进出境商品检验、动植物检疫、卫生检疫和应对技术性贸易措施的检测能力和水平；保障业务现场正常运行，足额支付产生的各项相应支出，确保海关监管职能有效发挥。</w:t>
            </w:r>
          </w:p>
          <w:p>
            <w:pPr>
              <w:rPr>
                <w:rFonts w:ascii="宋体" w:eastAsia="宋体" w:cs="宋体"/>
                <w:sz w:val="22"/>
              </w:rPr>
            </w:pPr>
            <w:r>
              <w:rPr>
                <w:rFonts w:ascii="宋体" w:eastAsia="宋体" w:cs="宋体"/>
                <w:sz w:val="22"/>
              </w:rPr>
              <w:t xml:space="preserve">目标2：推动马尾关区技术性贸易壁垒的深入研究，促进我国对外贸易的顺利发展，遏制国外不合格的商品及产品流入国内，保护国家权益和人民的健康。 </w:t>
            </w:r>
          </w:p>
          <w:p>
            <w:pPr>
              <w:rPr>
                <w:rFonts w:ascii="宋体" w:eastAsia="宋体" w:cs="宋体"/>
                <w:sz w:val="22"/>
              </w:rPr>
            </w:pP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一级指标</w:t>
            </w:r>
          </w:p>
        </w:tc>
        <w:tc>
          <w:tcPr>
            <w:tcW w:w="211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二级指标</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指标值</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成本指标</w:t>
            </w:r>
          </w:p>
        </w:tc>
        <w:tc>
          <w:tcPr>
            <w:tcW w:w="211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经济成本指标</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购车成本</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≤49.5万元</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12</w:t>
            </w:r>
          </w:p>
        </w:tc>
      </w:tr>
      <w:tr>
        <w:trPr>
          <w:trHeight w:val="86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临时工平均用工成本（元/月）</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≤6000元/月</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11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雇佣临时工数量</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≥15个</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保障业务现场数量</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≥2个</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保障执法车辆数量（辆）</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≥8辆</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12</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业务现场保障覆盖率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公车可用率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临时工到岗率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11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保障监管业务现场正常运行</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马尾海关关区检验检疫能力</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211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生态效益指标</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无纸化通关作业率（%）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79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满意度</w:t>
            </w:r>
          </w:p>
          <w:p>
            <w:pPr>
              <w:jc w:val="center"/>
              <w:rPr>
                <w:rFonts w:ascii="宋体" w:eastAsia="宋体" w:cs="宋体"/>
                <w:sz w:val="22"/>
              </w:rPr>
            </w:pPr>
            <w:r>
              <w:rPr>
                <w:rFonts w:ascii="宋体" w:eastAsia="宋体" w:cs="宋体"/>
                <w:sz w:val="22"/>
              </w:rPr>
              <w:t>指标</w:t>
            </w:r>
          </w:p>
        </w:tc>
        <w:tc>
          <w:tcPr>
            <w:tcW w:w="211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服务对象</w:t>
            </w:r>
          </w:p>
          <w:p>
            <w:pPr>
              <w:jc w:val="center"/>
              <w:rPr>
                <w:rFonts w:ascii="宋体" w:eastAsia="宋体" w:cs="宋体"/>
                <w:sz w:val="22"/>
              </w:rPr>
            </w:pPr>
            <w:r>
              <w:rPr>
                <w:rFonts w:ascii="宋体" w:eastAsia="宋体" w:cs="宋体"/>
                <w:sz w:val="22"/>
              </w:rPr>
              <w:t>满意度指标</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旅客（企业）（抽样）满意度（%）</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24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1635"/>
        <w:gridCol w:w="1110"/>
        <w:gridCol w:w="2310"/>
        <w:gridCol w:w="1500"/>
        <w:gridCol w:w="1035"/>
      </w:tblGrid>
      <w:tr>
        <w:trPr>
          <w:trHeight w:val="704"/>
        </w:trPr>
        <w:tc>
          <w:tcPr>
            <w:tcW w:w="957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57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59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进出口食品及化妆品安全专项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745"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5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7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1.20 </w:t>
            </w:r>
          </w:p>
        </w:tc>
        <w:tc>
          <w:tcPr>
            <w:tcW w:w="1035"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7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8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1.20 </w:t>
            </w:r>
          </w:p>
        </w:tc>
        <w:tc>
          <w:tcPr>
            <w:tcW w:w="103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7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8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03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7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8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035" w:type="dxa"/>
            <w:vMerge/>
            <w:tcBorders>
              <w:top w:val="nil"/>
              <w:left w:val="single" w:sz="6" w:space="0" w:color="auto"/>
              <w:bottom w:val="single" w:sz="6" w:space="0" w:color="auto"/>
              <w:right w:val="single" w:sz="6" w:space="0" w:color="auto"/>
              <w:tl2br w:val="nil"/>
              <w:tr2bl w:val="nil"/>
            </w:tcBorders>
            <w:noWrap/>
            <w:vAlign w:val="center"/>
          </w:tcPr>
          <w:p/>
        </w:tc>
      </w:tr>
      <w:tr>
        <w:trPr>
          <w:trHeight w:val="253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9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目标1.组织实施对进出口食品化妆品的检验检疫监督管理，保障食品化妆品安全；</w:t>
            </w:r>
          </w:p>
          <w:p>
            <w:pPr>
              <w:rPr>
                <w:rFonts w:ascii="宋体" w:eastAsia="宋体" w:cs="宋体"/>
                <w:sz w:val="22"/>
              </w:rPr>
            </w:pPr>
            <w:r>
              <w:rPr>
                <w:rFonts w:ascii="宋体" w:eastAsia="宋体" w:cs="宋体"/>
                <w:sz w:val="22"/>
              </w:rPr>
              <w:t>目标2.对境外发生的食品化妆品安全事件可能对我国境内造成影响，或者在接到执行管理部门通报进口食品化妆品中发现严重安全问题的，组织实施安全风险分析和紧急预防措施工作；</w:t>
            </w:r>
          </w:p>
          <w:p>
            <w:pPr>
              <w:rPr>
                <w:rFonts w:ascii="宋体" w:eastAsia="宋体" w:cs="宋体"/>
                <w:sz w:val="22"/>
              </w:rPr>
            </w:pPr>
            <w:r>
              <w:rPr>
                <w:rFonts w:ascii="宋体" w:eastAsia="宋体" w:cs="宋体"/>
                <w:sz w:val="22"/>
              </w:rPr>
              <w:t xml:space="preserve">目标3.按照总署食品局部署，开展国内外食品化妆品技术法规收集与分析，开展进出口食品化妆品安全风险信息收集、汇总工作。                                                           </w:t>
            </w:r>
          </w:p>
          <w:p>
            <w:pPr>
              <w:rPr>
                <w:rFonts w:ascii="宋体" w:eastAsia="宋体" w:cs="宋体"/>
                <w:sz w:val="22"/>
              </w:rPr>
            </w:pPr>
            <w:r>
              <w:rPr>
                <w:rFonts w:ascii="宋体" w:eastAsia="宋体" w:cs="宋体"/>
                <w:sz w:val="22"/>
              </w:rPr>
              <w:t>目标4.对食品化妆品安全监管人员进行专业培训，提高监管人员政策水平与业务能力。</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63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进出口食品化妆品安全知识宣传</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77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6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组织进出口食品安全监管岗位培训</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63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监管人员业务培训覆盖率</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6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业务培训合格率</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79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6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年度进出口食品化妆品监督抽检和风险监测计划完成率（%）</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开展食品安全宣传周活动</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100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6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参训人员满意度</w:t>
            </w:r>
          </w:p>
        </w:tc>
        <w:tc>
          <w:tcPr>
            <w:tcW w:w="15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0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1575"/>
        <w:gridCol w:w="1110"/>
        <w:gridCol w:w="2310"/>
        <w:gridCol w:w="1485"/>
        <w:gridCol w:w="1185"/>
      </w:tblGrid>
      <w:tr>
        <w:trPr>
          <w:trHeight w:val="704"/>
        </w:trPr>
        <w:tc>
          <w:tcPr>
            <w:tcW w:w="964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64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66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685"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67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5.50 </w:t>
            </w:r>
          </w:p>
        </w:tc>
        <w:tc>
          <w:tcPr>
            <w:tcW w:w="1185"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7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5.50 </w:t>
            </w:r>
          </w:p>
        </w:tc>
        <w:tc>
          <w:tcPr>
            <w:tcW w:w="118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7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6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7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5"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01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目标1：完成口岸卫生监督工作，巩固传染病疫情防控能力基础，完成年度外来传染病检测常规工作任务，保障国家公共卫生安全；</w:t>
            </w:r>
          </w:p>
          <w:p>
            <w:pPr>
              <w:rPr>
                <w:rFonts w:ascii="宋体" w:eastAsia="宋体" w:cs="宋体"/>
                <w:sz w:val="22"/>
              </w:rPr>
            </w:pPr>
            <w:r>
              <w:rPr>
                <w:rFonts w:ascii="宋体" w:eastAsia="宋体" w:cs="宋体"/>
                <w:sz w:val="22"/>
              </w:rPr>
              <w:t>目标2：对境内外传染病疫情风险进行监控，防范输入型传染病传入传出；</w:t>
            </w:r>
          </w:p>
          <w:p>
            <w:pPr>
              <w:rPr>
                <w:rFonts w:ascii="宋体" w:eastAsia="宋体" w:cs="宋体"/>
                <w:sz w:val="22"/>
              </w:rPr>
            </w:pPr>
            <w:r>
              <w:rPr>
                <w:rFonts w:ascii="宋体" w:eastAsia="宋体" w:cs="宋体"/>
                <w:sz w:val="22"/>
              </w:rPr>
              <w:t>目标3：对传染病防控相关知识进行普及性宣传，提高人民群众防范重大传染病的意识。</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57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外来传染病监测点</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9</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57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重大传染病防控宣传</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57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外来传染病疫情风险监控（次）</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57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口岸核心能力动态管理率</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58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57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口岸传染病疫情风险监测信息准确率</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67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57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口岸公共卫生安全宣传活动完成率</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外来传染病监测按期完成率</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7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重大输入型传染病疫情防控有效率</w:t>
            </w:r>
          </w:p>
        </w:tc>
        <w:tc>
          <w:tcPr>
            <w:tcW w:w="148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pPr>
      <w: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1935"/>
        <w:gridCol w:w="1110"/>
        <w:gridCol w:w="2310"/>
        <w:gridCol w:w="1575"/>
        <w:gridCol w:w="1350"/>
      </w:tblGrid>
      <w:tr>
        <w:trPr>
          <w:trHeight w:val="704"/>
        </w:trPr>
        <w:tc>
          <w:tcPr>
            <w:tcW w:w="1026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1026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28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45"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8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0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88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0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88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88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63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1．完成当年国门生物安全监测工作，进一步夯实国门生物安全保障能力基础。</w:t>
            </w:r>
          </w:p>
          <w:p>
            <w:pPr>
              <w:rPr>
                <w:rFonts w:ascii="宋体" w:eastAsia="宋体" w:cs="宋体"/>
                <w:sz w:val="22"/>
              </w:rPr>
            </w:pPr>
            <w:r>
              <w:rPr>
                <w:rFonts w:ascii="宋体" w:eastAsia="宋体" w:cs="宋体"/>
                <w:sz w:val="22"/>
              </w:rPr>
              <w:t>2.植物检疫检出率同比正增长，完成年度进出境动植物检验检疫常规工作任务。</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9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93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开展进出境动植物检疫业务培训</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完成岗位人员资质认定和评价</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外来传染病监测点（个）</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外来传染病疫情风险监控（次）</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5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开展国门生物安全培训或宣传次数</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业务培训合格率（%）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76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岗位人员资质认定评价通过率（%）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64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外来传染病疫情风险监控（次）完成率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w:t>
            </w:r>
          </w:p>
        </w:tc>
      </w:tr>
      <w:tr>
        <w:trPr>
          <w:trHeight w:val="809"/>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nil"/>
              <w:bottom w:val="single" w:sz="6" w:space="0" w:color="auto"/>
              <w:right w:val="single" w:sz="6" w:space="0" w:color="auto"/>
              <w:tl2br w:val="nil"/>
              <w:tr2bl w:val="nil"/>
            </w:tcBorders>
            <w:noWrap/>
            <w:vAlign w:val="center"/>
          </w:tcPr>
          <w:p/>
        </w:tc>
        <w:tc>
          <w:tcPr>
            <w:tcW w:w="19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外来传染病监测按期完成率（%）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9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重大突发检验检疫问题处理率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79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9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进出口企业满意度（%）</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Microsoft JhengHei">
    <w:altName w:val="宋体"/>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auto"/>
    <w:pitch w:val="variable"/>
    <w:sig w:usb0="80000287" w:usb1="280F3C52" w:usb2="00000016" w:usb3="00000000" w:csb0="0004001F" w:csb1="00000000"/>
  </w:font>
  <w:font w:name="Arial">
    <w:altName w:val="DejaVu Sans"/>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永中宋体">
    <w:altName w:val="华文宋体"/>
    <w:panose1 w:val="00000000000000000000"/>
    <w:charset w:val="86"/>
    <w:family w:val="auto"/>
    <w:pitch w:val="variable"/>
    <w:sig w:usb0="00000001" w:usb1="080E0000" w:usb2="00000010" w:usb3="00000000" w:csb0="00040000" w:csb1="00000000"/>
  </w:font>
  <w:font w:name="仿宋_GB2312">
    <w:altName w:val="方正仿宋_GBK"/>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380</wp:posOffset>
              </wp:positionV>
              <wp:extent cx="9524"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9"/>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14991532pt;margin-top:0.029937288pt;width:0.74998856pt;height:10.359pt;z-index:22;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-121346</wp:posOffset>
              </wp:positionV>
              <wp:extent cx="139699"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0.014968644pt;margin-top:-9.554847pt;width:10.999985pt;height:12.661001pt;z-index:24;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381</wp:posOffset>
              </wp:positionV>
              <wp:extent cx="114300" cy="131445"/>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11">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shape type="#_x0000_t202" id="文本框 2 12" o:spid="_x0000_s12" filled="f" stroked="f" style="position:absolute;margin-left:0.0pt;margin-top:0.030028839pt;width:9.0pt;height:10.35pt;z-index:2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widowControl w:val="0"/>
      <w:jc w:val="both"/>
    </w:pPr>
    <w:rPr>
      <w:rFonts w:ascii="Calibri" w:eastAsia="宋体" w:cs="Arial" w:hAnsi="Calibri"/>
      <w:kern w:val="2"/>
      <w:sz w:val="21"/>
      <w:szCs w:val="22"/>
      <w:lang w:val="en-US" w:eastAsia="zh-CN" w:bidi="ar-SA"/>
    </w:rPr>
  </w:style>
  <w:style w:type="paragraph" w:customStyle="1" w:styleId="4095">
    <w:name w:val="样式 4064 10 磅"/>
    <w:pPr>
      <w:widowControl w:val="0"/>
      <w:jc w:val="both"/>
    </w:pPr>
    <w:rPr>
      <w:rFonts w:ascii="Calibri" w:eastAsia="宋体" w:cs="Arial" w:hAnsi="Calibri"/>
      <w:kern w:val="2"/>
      <w:sz w:val="21"/>
      <w:szCs w:val="22"/>
      <w:lang w:val="en-US" w:eastAsia="zh-CN" w:bidi="ar-SA"/>
    </w:rPr>
  </w:style>
  <w:style w:type="paragraph" w:customStyle="1" w:styleId="4096">
    <w:name w:val="样式 4065 10 磅"/>
    <w:pPr>
      <w:widowControl w:val="0"/>
      <w:jc w:val="both"/>
    </w:pPr>
    <w:rPr>
      <w:rFonts w:ascii="Calibri" w:eastAsia="宋体" w:cs="Arial" w:hAnsi="Calibri"/>
      <w:kern w:val="2"/>
      <w:sz w:val="21"/>
      <w:szCs w:val="22"/>
      <w:lang w:val="en-US" w:eastAsia="zh-CN" w:bidi="ar-SA"/>
    </w:rPr>
  </w:style>
  <w:style w:type="paragraph" w:customStyle="1" w:styleId="4097">
    <w:name w:val="样式 4066 10 磅"/>
    <w:pPr>
      <w:widowControl w:val="0"/>
      <w:jc w:val="both"/>
    </w:pPr>
    <w:rPr>
      <w:rFonts w:ascii="Calibri" w:eastAsia="宋体" w:cs="Arial" w:hAnsi="Calibri"/>
      <w:kern w:val="2"/>
      <w:sz w:val="21"/>
      <w:szCs w:val="22"/>
      <w:lang w:val="en-US" w:eastAsia="zh-CN" w:bidi="ar-SA"/>
    </w:rPr>
  </w:style>
  <w:style w:type="paragraph" w:customStyle="1" w:styleId="4098">
    <w:name w:val="样式 4067 10 磅"/>
    <w:pPr>
      <w:widowControl w:val="0"/>
      <w:jc w:val="both"/>
    </w:pPr>
    <w:rPr>
      <w:rFonts w:ascii="Times New Roman" w:eastAsia="宋体" w:cs="Times New Roman" w:hAnsi="Times New Roman"/>
      <w:kern w:val="2"/>
      <w:sz w:val="21"/>
      <w:szCs w:val="24"/>
      <w:lang w:val="en-US" w:eastAsia="zh-CN" w:bidi="ar-SA"/>
    </w:rPr>
  </w:style>
  <w:style w:type="paragraph" w:customStyle="1" w:styleId="4099">
    <w:name w:val="样式 4068 10 磅"/>
    <w:pPr>
      <w:widowControl w:val="0"/>
      <w:jc w:val="both"/>
    </w:pPr>
    <w:rPr>
      <w:rFonts w:ascii="Times New Roman" w:eastAsia="宋体" w:cs="Times New Roman" w:hAnsi="Times New Roman"/>
      <w:kern w:val="2"/>
      <w:sz w:val="21"/>
      <w:szCs w:val="24"/>
      <w:lang w:val="en-US" w:eastAsia="zh-CN" w:bidi="ar-SA"/>
    </w:rPr>
  </w:style>
  <w:style w:type="paragraph" w:customStyle="1" w:styleId="4100">
    <w:name w:val="样式 4069 10 磅"/>
    <w:pPr>
      <w:widowControl w:val="0"/>
      <w:jc w:val="both"/>
    </w:pPr>
    <w:rPr>
      <w:rFonts w:ascii="Times New Roman" w:eastAsia="宋体" w:cs="Times New Roman" w:hAnsi="Times New Roman"/>
      <w:kern w:val="2"/>
      <w:sz w:val="21"/>
      <w:szCs w:val="24"/>
      <w:lang w:val="en-US" w:eastAsia="zh-CN" w:bidi="ar-SA"/>
    </w:rPr>
  </w:style>
  <w:style w:type="paragraph" w:customStyle="1" w:styleId="4101">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73 10 磅"/>
    <w:pPr>
      <w:widowControl w:val="0"/>
      <w:jc w:val="both"/>
    </w:pPr>
    <w:rPr>
      <w:rFonts w:ascii="Times New Roman" w:eastAsia="宋体" w:cs="Times New Roman" w:hAnsi="Times New Roman"/>
      <w:kern w:val="2"/>
      <w:sz w:val="21"/>
      <w:szCs w:val="24"/>
      <w:lang w:val="en-US" w:eastAsia="zh-CN" w:bidi="ar-SA"/>
    </w:rPr>
  </w:style>
  <w:style w:type="paragraph" w:customStyle="1" w:styleId="4105">
    <w:name w:val="样式 4074 10 磅"/>
    <w:pPr>
      <w:widowControl w:val="0"/>
      <w:jc w:val="both"/>
    </w:pPr>
    <w:rPr>
      <w:rFonts w:ascii="Times New Roman" w:eastAsia="宋体" w:cs="Times New Roman" w:hAnsi="Times New Roman"/>
      <w:kern w:val="2"/>
      <w:sz w:val="21"/>
      <w:szCs w:val="24"/>
      <w:lang w:val="en-US" w:eastAsia="zh-CN" w:bidi="ar-SA"/>
    </w:rPr>
  </w:style>
  <w:style w:type="paragraph" w:customStyle="1" w:styleId="4106">
    <w:name w:val="样式 4075 10 磅"/>
    <w:pPr>
      <w:widowControl w:val="0"/>
      <w:jc w:val="both"/>
    </w:pPr>
    <w:rPr>
      <w:rFonts w:ascii="Times New Roman" w:eastAsia="宋体" w:cs="Times New Roman" w:hAnsi="Times New Roman"/>
      <w:kern w:val="2"/>
      <w:sz w:val="21"/>
      <w:szCs w:val="24"/>
      <w:lang w:val="en-US" w:eastAsia="zh-CN" w:bidi="ar-SA"/>
    </w:rPr>
  </w:style>
  <w:style w:type="paragraph" w:customStyle="1" w:styleId="4107">
    <w:name w:val="样式 4076 10 磅"/>
    <w:pPr>
      <w:widowControl w:val="0"/>
      <w:jc w:val="both"/>
    </w:pPr>
    <w:rPr>
      <w:rFonts w:ascii="Times New Roman" w:eastAsia="宋体" w:cs="Times New Roman" w:hAnsi="Times New Roman"/>
      <w:kern w:val="2"/>
      <w:sz w:val="21"/>
      <w:szCs w:val="24"/>
      <w:lang w:val="en-US" w:eastAsia="zh-CN" w:bidi="ar-SA"/>
    </w:rPr>
  </w:style>
  <w:style w:type="paragraph" w:customStyle="1" w:styleId="4108">
    <w:name w:val="样式 40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9">
    <w:name w:val="样式 4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0">
    <w:name w:val="样式 4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1">
    <w:name w:val="样式 4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2">
    <w:name w:val="样式 40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3">
    <w:name w:val="样式 40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4">
    <w:name w:val="样式 40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5">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8">
    <w:name w:val="样式 40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9">
    <w:name w:val="样式 4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0">
    <w:name w:val="样式 4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1">
    <w:name w:val="样式 4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2">
    <w:name w:val="样式 4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3">
    <w:name w:val="样式 4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4">
    <w:name w:val="样式 4093 10 磅"/>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6">
    <w:name w:val="样式 4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7">
    <w:name w:val="样式 4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8">
    <w:name w:val="样式 4097 10 磅"/>
    <w:pPr>
      <w:widowControl w:val="0"/>
      <w:jc w:val="both"/>
    </w:pPr>
    <w:rPr>
      <w:rFonts w:ascii="Times New Roman" w:eastAsia="宋体" w:cs="Times New Roman" w:hAnsi="Times New Roman"/>
      <w:kern w:val="2"/>
      <w:sz w:val="21"/>
      <w:szCs w:val="24"/>
      <w:lang w:val="en-US" w:eastAsia="zh-CN" w:bidi="ar-SA"/>
    </w:rPr>
  </w:style>
  <w:style w:type="paragraph" w:customStyle="1" w:styleId="4129">
    <w:name w:val="样式 4098 10 磅"/>
    <w:pPr>
      <w:widowControl w:val="0"/>
      <w:jc w:val="both"/>
    </w:pPr>
    <w:rPr>
      <w:rFonts w:ascii="Times New Roman" w:eastAsia="宋体" w:cs="Times New Roman" w:hAnsi="Times New Roman"/>
      <w:kern w:val="2"/>
      <w:sz w:val="21"/>
      <w:szCs w:val="24"/>
      <w:lang w:val="en-US" w:eastAsia="zh-CN" w:bidi="ar-SA"/>
    </w:rPr>
  </w:style>
  <w:style w:type="paragraph" w:customStyle="1" w:styleId="4130">
    <w:name w:val="样式 4099 10 磅"/>
    <w:pPr>
      <w:widowControl w:val="0"/>
      <w:jc w:val="both"/>
    </w:pPr>
    <w:rPr>
      <w:rFonts w:ascii="Times New Roman" w:eastAsia="宋体" w:cs="Times New Roman" w:hAnsi="Times New Roman"/>
      <w:kern w:val="2"/>
      <w:sz w:val="21"/>
      <w:szCs w:val="24"/>
      <w:lang w:val="en-US" w:eastAsia="zh-CN" w:bidi="ar-SA"/>
    </w:rPr>
  </w:style>
  <w:style w:type="paragraph" w:customStyle="1" w:styleId="4131">
    <w:name w:val="样式 4100 10 磅"/>
    <w:pPr>
      <w:widowControl w:val="0"/>
      <w:jc w:val="both"/>
    </w:pPr>
    <w:rPr>
      <w:rFonts w:ascii="Times New Roman" w:eastAsia="宋体" w:cs="Times New Roman" w:hAnsi="Times New Roman"/>
      <w:kern w:val="2"/>
      <w:sz w:val="21"/>
      <w:szCs w:val="24"/>
      <w:lang w:val="en-US" w:eastAsia="zh-CN" w:bidi="ar-SA"/>
    </w:rPr>
  </w:style>
  <w:style w:type="paragraph" w:customStyle="1" w:styleId="4132">
    <w:name w:val="样式 4101 10 磅"/>
    <w:pPr>
      <w:widowControl w:val="0"/>
      <w:jc w:val="both"/>
    </w:pPr>
    <w:rPr>
      <w:rFonts w:ascii="Times New Roman" w:eastAsia="宋体" w:cs="Times New Roman" w:hAnsi="Times New Roman"/>
      <w:kern w:val="2"/>
      <w:sz w:val="21"/>
      <w:szCs w:val="24"/>
      <w:lang w:val="en-US" w:eastAsia="zh-CN" w:bidi="ar-SA"/>
    </w:rPr>
  </w:style>
  <w:style w:type="paragraph" w:customStyle="1" w:styleId="4133">
    <w:name w:val="样式 4102 10 磅"/>
    <w:pPr>
      <w:widowControl w:val="0"/>
      <w:jc w:val="both"/>
    </w:pPr>
    <w:rPr>
      <w:rFonts w:ascii="Times New Roman" w:eastAsia="宋体" w:cs="Times New Roman" w:hAnsi="Times New Roman"/>
      <w:kern w:val="2"/>
      <w:sz w:val="21"/>
      <w:szCs w:val="24"/>
      <w:lang w:val="en-US" w:eastAsia="zh-CN" w:bidi="ar-SA"/>
    </w:rPr>
  </w:style>
  <w:style w:type="paragraph" w:customStyle="1" w:styleId="4134">
    <w:name w:val="样式 4103 10 磅"/>
    <w:pPr>
      <w:widowControl w:val="0"/>
      <w:jc w:val="both"/>
    </w:pPr>
    <w:rPr>
      <w:rFonts w:ascii="Times New Roman" w:eastAsia="宋体" w:cs="Times New Roman" w:hAnsi="Times New Roman"/>
      <w:kern w:val="2"/>
      <w:sz w:val="21"/>
      <w:szCs w:val="24"/>
      <w:lang w:val="en-US" w:eastAsia="zh-CN" w:bidi="ar-SA"/>
    </w:rPr>
  </w:style>
  <w:style w:type="paragraph" w:customStyle="1" w:styleId="4135">
    <w:name w:val="样式 4104 10 磅"/>
    <w:pPr>
      <w:widowControl w:val="0"/>
      <w:jc w:val="both"/>
    </w:pPr>
    <w:rPr>
      <w:rFonts w:ascii="Times New Roman" w:eastAsia="宋体" w:cs="Times New Roman" w:hAnsi="Times New Roman"/>
      <w:kern w:val="2"/>
      <w:sz w:val="21"/>
      <w:szCs w:val="24"/>
      <w:lang w:val="en-US" w:eastAsia="zh-CN" w:bidi="ar-SA"/>
    </w:rPr>
  </w:style>
  <w:style w:type="paragraph" w:customStyle="1" w:styleId="4136">
    <w:name w:val="样式 4105 10 磅"/>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6 10 磅"/>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7 10 磅"/>
    <w:pPr>
      <w:widowControl w:val="0"/>
      <w:jc w:val="both"/>
    </w:pPr>
    <w:rPr>
      <w:rFonts w:ascii="Times New Roman" w:eastAsia="宋体" w:cs="Times New Roman" w:hAnsi="Times New Roman"/>
      <w:kern w:val="2"/>
      <w:sz w:val="21"/>
      <w:szCs w:val="24"/>
      <w:lang w:val="en-US" w:eastAsia="zh-CN" w:bidi="ar-SA"/>
    </w:rPr>
  </w:style>
  <w:style w:type="paragraph" w:customStyle="1" w:styleId="4139">
    <w:name w:val="样式 4108 10 磅"/>
    <w:pPr>
      <w:widowControl w:val="0"/>
      <w:jc w:val="both"/>
    </w:pPr>
    <w:rPr>
      <w:rFonts w:ascii="Times New Roman" w:eastAsia="宋体" w:cs="Times New Roman" w:hAnsi="Times New Roman"/>
      <w:kern w:val="2"/>
      <w:sz w:val="21"/>
      <w:szCs w:val="24"/>
      <w:lang w:val="en-US" w:eastAsia="zh-CN" w:bidi="ar-SA"/>
    </w:rPr>
  </w:style>
  <w:style w:type="paragraph" w:customStyle="1" w:styleId="4140">
    <w:name w:val="样式 4109 10 磅"/>
    <w:pPr>
      <w:widowControl w:val="0"/>
      <w:jc w:val="both"/>
    </w:pPr>
    <w:rPr>
      <w:rFonts w:ascii="Times New Roman" w:eastAsia="宋体" w:cs="Times New Roman" w:hAnsi="Times New Roman"/>
      <w:kern w:val="2"/>
      <w:sz w:val="21"/>
      <w:szCs w:val="24"/>
      <w:lang w:val="en-US" w:eastAsia="zh-CN" w:bidi="ar-SA"/>
    </w:rPr>
  </w:style>
  <w:style w:type="paragraph" w:customStyle="1" w:styleId="4141">
    <w:name w:val="样式 4110 10 磅"/>
    <w:pPr>
      <w:widowControl w:val="0"/>
      <w:jc w:val="both"/>
    </w:pPr>
    <w:rPr>
      <w:rFonts w:ascii="Times New Roman" w:eastAsia="宋体" w:cs="Times New Roman" w:hAnsi="Times New Roman"/>
      <w:kern w:val="2"/>
      <w:sz w:val="21"/>
      <w:szCs w:val="24"/>
      <w:lang w:val="en-US" w:eastAsia="zh-CN" w:bidi="ar-SA"/>
    </w:rPr>
  </w:style>
  <w:style w:type="paragraph" w:customStyle="1" w:styleId="4142">
    <w:name w:val="样式 4111 10 磅"/>
    <w:pPr>
      <w:widowControl w:val="0"/>
      <w:jc w:val="both"/>
    </w:pPr>
    <w:rPr>
      <w:rFonts w:ascii="Times New Roman" w:eastAsia="宋体" w:cs="Times New Roman" w:hAnsi="Times New Roman"/>
      <w:kern w:val="2"/>
      <w:sz w:val="21"/>
      <w:szCs w:val="24"/>
      <w:lang w:val="en-US" w:eastAsia="zh-CN" w:bidi="ar-SA"/>
    </w:rPr>
  </w:style>
  <w:style w:type="paragraph" w:customStyle="1" w:styleId="4143">
    <w:name w:val="样式 4112 10 磅"/>
    <w:pPr>
      <w:widowControl w:val="0"/>
      <w:jc w:val="both"/>
    </w:pPr>
    <w:rPr>
      <w:rFonts w:ascii="Times New Roman" w:eastAsia="宋体" w:cs="Times New Roman" w:hAnsi="Times New Roman"/>
      <w:kern w:val="2"/>
      <w:sz w:val="21"/>
      <w:szCs w:val="24"/>
      <w:lang w:val="en-US" w:eastAsia="zh-CN" w:bidi="ar-SA"/>
    </w:rPr>
  </w:style>
  <w:style w:type="paragraph" w:customStyle="1" w:styleId="4144">
    <w:name w:val="样式 4113 10 磅"/>
    <w:pPr>
      <w:widowControl w:val="0"/>
      <w:jc w:val="both"/>
    </w:pPr>
    <w:rPr>
      <w:rFonts w:ascii="Times New Roman" w:eastAsia="宋体" w:cs="Times New Roman" w:hAnsi="Times New Roman"/>
      <w:kern w:val="2"/>
      <w:sz w:val="21"/>
      <w:szCs w:val="24"/>
      <w:lang w:val="en-US" w:eastAsia="zh-CN" w:bidi="ar-SA"/>
    </w:rPr>
  </w:style>
  <w:style w:type="paragraph" w:customStyle="1" w:styleId="4145">
    <w:name w:val="样式 4114 10 磅"/>
    <w:pPr>
      <w:widowControl w:val="0"/>
      <w:jc w:val="both"/>
    </w:pPr>
    <w:rPr>
      <w:rFonts w:ascii="Times New Roman" w:eastAsia="宋体" w:cs="Times New Roman" w:hAnsi="Times New Roman"/>
      <w:kern w:val="2"/>
      <w:sz w:val="21"/>
      <w:szCs w:val="24"/>
      <w:lang w:val="en-US" w:eastAsia="zh-CN" w:bidi="ar-SA"/>
    </w:rPr>
  </w:style>
  <w:style w:type="paragraph" w:customStyle="1" w:styleId="4146">
    <w:name w:val="样式 4115 10 磅"/>
    <w:pPr>
      <w:widowControl w:val="0"/>
      <w:jc w:val="both"/>
    </w:pPr>
    <w:rPr>
      <w:rFonts w:ascii="Times New Roman" w:eastAsia="宋体" w:cs="Times New Roman" w:hAnsi="Times New Roman"/>
      <w:kern w:val="2"/>
      <w:sz w:val="21"/>
      <w:szCs w:val="24"/>
      <w:lang w:val="en-US" w:eastAsia="zh-CN" w:bidi="ar-SA"/>
    </w:rPr>
  </w:style>
  <w:style w:type="paragraph" w:customStyle="1" w:styleId="4147">
    <w:name w:val="样式 4116 10 磅"/>
    <w:pPr>
      <w:widowControl w:val="0"/>
      <w:jc w:val="both"/>
    </w:pPr>
    <w:rPr>
      <w:rFonts w:ascii="Times New Roman" w:eastAsia="宋体" w:cs="Times New Roman" w:hAnsi="Times New Roman"/>
      <w:kern w:val="2"/>
      <w:sz w:val="21"/>
      <w:szCs w:val="24"/>
      <w:lang w:val="en-US" w:eastAsia="zh-CN" w:bidi="ar-SA"/>
    </w:rPr>
  </w:style>
  <w:style w:type="paragraph" w:customStyle="1" w:styleId="4148">
    <w:name w:val="样式 4117 10 磅"/>
    <w:pPr>
      <w:widowControl w:val="0"/>
      <w:jc w:val="both"/>
    </w:pPr>
    <w:rPr>
      <w:rFonts w:ascii="Times New Roman" w:eastAsia="宋体" w:cs="Times New Roman" w:hAnsi="Times New Roman"/>
      <w:kern w:val="2"/>
      <w:sz w:val="21"/>
      <w:szCs w:val="24"/>
      <w:lang w:val="en-US" w:eastAsia="zh-CN" w:bidi="ar-SA"/>
    </w:rPr>
  </w:style>
  <w:style w:type="paragraph" w:customStyle="1" w:styleId="4149">
    <w:name w:val="样式 4118 10 磅"/>
    <w:pPr>
      <w:widowControl w:val="0"/>
      <w:jc w:val="both"/>
    </w:pPr>
    <w:rPr>
      <w:rFonts w:ascii="Times New Roman" w:eastAsia="宋体" w:cs="Times New Roman" w:hAnsi="Times New Roman"/>
      <w:kern w:val="2"/>
      <w:sz w:val="21"/>
      <w:szCs w:val="24"/>
      <w:lang w:val="en-US" w:eastAsia="zh-CN" w:bidi="ar-SA"/>
    </w:rPr>
  </w:style>
  <w:style w:type="paragraph" w:customStyle="1" w:styleId="4150">
    <w:name w:val="样式 4119 10 磅"/>
    <w:pPr>
      <w:widowControl w:val="0"/>
      <w:jc w:val="both"/>
    </w:pPr>
    <w:rPr>
      <w:rFonts w:ascii="Times New Roman" w:eastAsia="宋体" w:cs="Times New Roman" w:hAnsi="Times New Roman"/>
      <w:kern w:val="2"/>
      <w:sz w:val="21"/>
      <w:szCs w:val="24"/>
      <w:lang w:val="en-US" w:eastAsia="zh-CN" w:bidi="ar-SA"/>
    </w:rPr>
  </w:style>
  <w:style w:type="paragraph" w:customStyle="1" w:styleId="4151">
    <w:name w:val="样式 4120 10 磅"/>
    <w:pPr>
      <w:widowControl w:val="0"/>
      <w:jc w:val="both"/>
    </w:pPr>
    <w:rPr>
      <w:rFonts w:ascii="Times New Roman" w:eastAsia="宋体" w:cs="Times New Roman" w:hAnsi="Times New Roman"/>
      <w:kern w:val="2"/>
      <w:sz w:val="21"/>
      <w:szCs w:val="24"/>
      <w:lang w:val="en-US" w:eastAsia="zh-CN" w:bidi="ar-SA"/>
    </w:rPr>
  </w:style>
  <w:style w:type="paragraph" w:customStyle="1" w:styleId="4152">
    <w:name w:val="样式 4121 10 磅"/>
    <w:pPr>
      <w:widowControl w:val="0"/>
      <w:jc w:val="both"/>
    </w:pPr>
    <w:rPr>
      <w:rFonts w:ascii="Times New Roman" w:eastAsia="宋体" w:cs="Times New Roman" w:hAnsi="Times New Roman"/>
      <w:kern w:val="2"/>
      <w:sz w:val="21"/>
      <w:szCs w:val="24"/>
      <w:lang w:val="en-US" w:eastAsia="zh-CN" w:bidi="ar-SA"/>
    </w:rPr>
  </w:style>
  <w:style w:type="paragraph" w:customStyle="1" w:styleId="4153">
    <w:name w:val="样式 4122 10 磅"/>
    <w:pPr>
      <w:widowControl w:val="0"/>
      <w:jc w:val="both"/>
    </w:pPr>
    <w:rPr>
      <w:rFonts w:ascii="Times New Roman" w:eastAsia="宋体" w:cs="Times New Roman" w:hAnsi="Times New Roman"/>
      <w:kern w:val="2"/>
      <w:sz w:val="21"/>
      <w:szCs w:val="24"/>
      <w:lang w:val="en-US" w:eastAsia="zh-CN" w:bidi="ar-SA"/>
    </w:rPr>
  </w:style>
  <w:style w:type="paragraph" w:customStyle="1" w:styleId="4154">
    <w:name w:val="样式 4123 10 磅"/>
    <w:pPr>
      <w:widowControl w:val="0"/>
      <w:jc w:val="both"/>
    </w:pPr>
    <w:rPr>
      <w:rFonts w:ascii="Times New Roman" w:eastAsia="宋体" w:cs="Times New Roman" w:hAnsi="Times New Roman"/>
      <w:kern w:val="2"/>
      <w:sz w:val="21"/>
      <w:szCs w:val="24"/>
      <w:lang w:val="en-US" w:eastAsia="zh-CN" w:bidi="ar-SA"/>
    </w:rPr>
  </w:style>
  <w:style w:type="paragraph" w:customStyle="1" w:styleId="4155">
    <w:name w:val="样式 4124 10 磅"/>
    <w:pPr>
      <w:widowControl w:val="0"/>
      <w:jc w:val="both"/>
    </w:pPr>
    <w:rPr>
      <w:rFonts w:ascii="Times New Roman" w:eastAsia="宋体" w:cs="Times New Roman" w:hAnsi="Times New Roman"/>
      <w:kern w:val="2"/>
      <w:sz w:val="21"/>
      <w:szCs w:val="24"/>
      <w:lang w:val="en-US" w:eastAsia="zh-CN" w:bidi="ar-SA"/>
    </w:rPr>
  </w:style>
  <w:style w:type="paragraph" w:customStyle="1" w:styleId="4156">
    <w:name w:val="样式 4125 10 磅"/>
    <w:pPr>
      <w:widowControl w:val="0"/>
      <w:jc w:val="both"/>
    </w:pPr>
    <w:rPr>
      <w:rFonts w:ascii="Times New Roman" w:eastAsia="宋体" w:cs="Times New Roman" w:hAnsi="Times New Roman"/>
      <w:kern w:val="2"/>
      <w:sz w:val="21"/>
      <w:szCs w:val="24"/>
      <w:lang w:val="en-US" w:eastAsia="zh-CN" w:bidi="ar-SA"/>
    </w:rPr>
  </w:style>
  <w:style w:type="paragraph" w:customStyle="1" w:styleId="4157">
    <w:name w:val="样式 4126 10 磅"/>
    <w:pPr>
      <w:widowControl w:val="0"/>
      <w:jc w:val="both"/>
    </w:pPr>
    <w:rPr>
      <w:rFonts w:ascii="Times New Roman" w:eastAsia="宋体" w:cs="Times New Roman" w:hAnsi="Times New Roman"/>
      <w:kern w:val="2"/>
      <w:sz w:val="21"/>
      <w:szCs w:val="24"/>
      <w:lang w:val="en-US" w:eastAsia="zh-CN" w:bidi="ar-SA"/>
    </w:rPr>
  </w:style>
  <w:style w:type="paragraph" w:customStyle="1" w:styleId="4158">
    <w:name w:val="样式 4127 10 磅"/>
    <w:pPr>
      <w:widowControl w:val="0"/>
      <w:jc w:val="both"/>
    </w:pPr>
    <w:rPr>
      <w:rFonts w:ascii="Times New Roman" w:eastAsia="宋体" w:cs="Times New Roman" w:hAnsi="Times New Roman"/>
      <w:kern w:val="2"/>
      <w:sz w:val="21"/>
      <w:szCs w:val="24"/>
      <w:lang w:val="en-US" w:eastAsia="zh-CN" w:bidi="ar-SA"/>
    </w:rPr>
  </w:style>
  <w:style w:type="paragraph" w:customStyle="1" w:styleId="4159">
    <w:name w:val="样式 4128 10 磅"/>
    <w:pPr>
      <w:widowControl w:val="0"/>
      <w:jc w:val="both"/>
    </w:pPr>
    <w:rPr>
      <w:rFonts w:ascii="Times New Roman" w:eastAsia="宋体" w:cs="Times New Roman" w:hAnsi="Times New Roman"/>
      <w:kern w:val="2"/>
      <w:sz w:val="21"/>
      <w:szCs w:val="24"/>
      <w:lang w:val="en-US" w:eastAsia="zh-CN" w:bidi="ar-SA"/>
    </w:rPr>
  </w:style>
  <w:style w:type="paragraph" w:customStyle="1" w:styleId="4160">
    <w:name w:val="样式 4129 10 磅"/>
    <w:pPr>
      <w:widowControl w:val="0"/>
      <w:jc w:val="both"/>
    </w:pPr>
    <w:rPr>
      <w:rFonts w:ascii="Times New Roman" w:eastAsia="宋体" w:cs="Times New Roman" w:hAnsi="Times New Roman"/>
      <w:kern w:val="2"/>
      <w:sz w:val="21"/>
      <w:szCs w:val="24"/>
      <w:lang w:val="en-US" w:eastAsia="zh-CN" w:bidi="ar-SA"/>
    </w:rPr>
  </w:style>
  <w:style w:type="paragraph" w:customStyle="1" w:styleId="4161">
    <w:name w:val="样式 4130 10 磅"/>
    <w:pPr>
      <w:widowControl w:val="0"/>
      <w:jc w:val="both"/>
    </w:pPr>
    <w:rPr>
      <w:rFonts w:ascii="Times New Roman" w:eastAsia="宋体" w:cs="Times New Roman" w:hAnsi="Times New Roman"/>
      <w:kern w:val="2"/>
      <w:sz w:val="21"/>
      <w:szCs w:val="24"/>
      <w:lang w:val="en-US" w:eastAsia="zh-CN" w:bidi="ar-SA"/>
    </w:rPr>
  </w:style>
  <w:style w:type="paragraph" w:customStyle="1" w:styleId="4162">
    <w:name w:val="样式 4131 10 磅"/>
    <w:pPr>
      <w:widowControl w:val="0"/>
      <w:jc w:val="both"/>
    </w:pPr>
    <w:rPr>
      <w:rFonts w:ascii="Times New Roman" w:eastAsia="宋体" w:cs="Times New Roman" w:hAnsi="Times New Roman"/>
      <w:kern w:val="2"/>
      <w:sz w:val="21"/>
      <w:szCs w:val="24"/>
      <w:lang w:val="en-US" w:eastAsia="zh-CN" w:bidi="ar-SA"/>
    </w:rPr>
  </w:style>
  <w:style w:type="paragraph" w:customStyle="1" w:styleId="4163">
    <w:name w:val="样式 4132 10 磅"/>
    <w:pPr>
      <w:widowControl w:val="0"/>
      <w:jc w:val="both"/>
    </w:pPr>
    <w:rPr>
      <w:rFonts w:ascii="Times New Roman" w:eastAsia="宋体" w:cs="Times New Roman" w:hAnsi="Times New Roman"/>
      <w:kern w:val="2"/>
      <w:sz w:val="21"/>
      <w:szCs w:val="24"/>
      <w:lang w:val="en-US" w:eastAsia="zh-CN" w:bidi="ar-SA"/>
    </w:rPr>
  </w:style>
  <w:style w:type="paragraph" w:customStyle="1" w:styleId="4164">
    <w:name w:val="样式 4133 10 磅"/>
    <w:pPr>
      <w:widowControl w:val="0"/>
      <w:jc w:val="both"/>
    </w:pPr>
    <w:rPr>
      <w:rFonts w:ascii="Times New Roman" w:eastAsia="宋体" w:cs="Times New Roman" w:hAnsi="Times New Roman"/>
      <w:kern w:val="2"/>
      <w:sz w:val="21"/>
      <w:szCs w:val="24"/>
      <w:lang w:val="en-US" w:eastAsia="zh-CN" w:bidi="ar-SA"/>
    </w:rPr>
  </w:style>
  <w:style w:type="paragraph" w:customStyle="1" w:styleId="4165">
    <w:name w:val="样式 4134 10 磅"/>
    <w:pPr>
      <w:widowControl w:val="0"/>
      <w:jc w:val="both"/>
    </w:pPr>
    <w:rPr>
      <w:rFonts w:ascii="Times New Roman" w:eastAsia="宋体" w:cs="Times New Roman" w:hAnsi="Times New Roman"/>
      <w:kern w:val="2"/>
      <w:sz w:val="21"/>
      <w:szCs w:val="24"/>
      <w:lang w:val="en-US" w:eastAsia="zh-CN" w:bidi="ar-SA"/>
    </w:rPr>
  </w:style>
  <w:style w:type="paragraph" w:customStyle="1" w:styleId="4166">
    <w:name w:val="样式 4135 10 磅"/>
    <w:pPr>
      <w:widowControl w:val="0"/>
      <w:jc w:val="both"/>
    </w:pPr>
    <w:rPr>
      <w:rFonts w:ascii="Times New Roman" w:eastAsia="宋体" w:cs="Times New Roman" w:hAnsi="Times New Roman"/>
      <w:kern w:val="2"/>
      <w:sz w:val="21"/>
      <w:szCs w:val="24"/>
      <w:lang w:val="en-US" w:eastAsia="zh-CN" w:bidi="ar-SA"/>
    </w:rPr>
  </w:style>
  <w:style w:type="paragraph" w:customStyle="1" w:styleId="4167">
    <w:name w:val="样式 4136 10 磅"/>
    <w:pPr>
      <w:widowControl w:val="0"/>
      <w:jc w:val="both"/>
    </w:pPr>
    <w:rPr>
      <w:rFonts w:ascii="Times New Roman" w:eastAsia="宋体" w:cs="Times New Roman" w:hAnsi="Times New Roman"/>
      <w:kern w:val="2"/>
      <w:sz w:val="21"/>
      <w:szCs w:val="24"/>
      <w:lang w:val="en-US" w:eastAsia="zh-CN" w:bidi="ar-SA"/>
    </w:rPr>
  </w:style>
  <w:style w:type="paragraph" w:customStyle="1" w:styleId="4168">
    <w:name w:val="样式 4137 10 磅"/>
    <w:pPr>
      <w:widowControl w:val="0"/>
      <w:jc w:val="both"/>
    </w:pPr>
    <w:rPr>
      <w:rFonts w:ascii="Times New Roman" w:eastAsia="宋体" w:cs="Times New Roman" w:hAnsi="Times New Roman"/>
      <w:kern w:val="2"/>
      <w:sz w:val="21"/>
      <w:szCs w:val="24"/>
      <w:lang w:val="en-US" w:eastAsia="zh-CN" w:bidi="ar-SA"/>
    </w:rPr>
  </w:style>
  <w:style w:type="paragraph" w:customStyle="1" w:styleId="4169">
    <w:name w:val="样式 4138 10 磅"/>
    <w:pPr>
      <w:widowControl w:val="0"/>
      <w:jc w:val="both"/>
    </w:pPr>
    <w:rPr>
      <w:rFonts w:ascii="Times New Roman" w:eastAsia="宋体" w:cs="Times New Roman" w:hAnsi="Times New Roman"/>
      <w:kern w:val="2"/>
      <w:sz w:val="21"/>
      <w:szCs w:val="24"/>
      <w:lang w:val="en-US" w:eastAsia="zh-CN" w:bidi="ar-SA"/>
    </w:rPr>
  </w:style>
  <w:style w:type="paragraph" w:customStyle="1" w:styleId="4170">
    <w:name w:val="样式 4139 10 磅"/>
    <w:pPr>
      <w:widowControl w:val="0"/>
      <w:jc w:val="both"/>
    </w:pPr>
    <w:rPr>
      <w:rFonts w:ascii="Times New Roman" w:eastAsia="宋体" w:cs="Times New Roman" w:hAnsi="Times New Roman"/>
      <w:kern w:val="2"/>
      <w:sz w:val="21"/>
      <w:szCs w:val="24"/>
      <w:lang w:val="en-US" w:eastAsia="zh-CN" w:bidi="ar-SA"/>
    </w:rPr>
  </w:style>
  <w:style w:type="paragraph" w:customStyle="1" w:styleId="4171">
    <w:name w:val="样式 4140 10 磅"/>
    <w:pPr>
      <w:widowControl w:val="0"/>
      <w:jc w:val="both"/>
    </w:pPr>
    <w:rPr>
      <w:rFonts w:ascii="Times New Roman" w:eastAsia="宋体" w:cs="Times New Roman" w:hAnsi="Times New Roman"/>
      <w:kern w:val="2"/>
      <w:sz w:val="21"/>
      <w:szCs w:val="24"/>
      <w:lang w:val="en-US" w:eastAsia="zh-CN" w:bidi="ar-SA"/>
    </w:rPr>
  </w:style>
  <w:style w:type="paragraph" w:customStyle="1" w:styleId="4172">
    <w:name w:val="样式 4141 10 磅"/>
    <w:pPr>
      <w:widowControl w:val="0"/>
      <w:jc w:val="both"/>
    </w:pPr>
    <w:rPr>
      <w:rFonts w:ascii="Times New Roman" w:eastAsia="宋体" w:cs="Times New Roman" w:hAnsi="Times New Roman"/>
      <w:kern w:val="2"/>
      <w:sz w:val="21"/>
      <w:szCs w:val="24"/>
      <w:lang w:val="en-US" w:eastAsia="zh-CN" w:bidi="ar-SA"/>
    </w:rPr>
  </w:style>
  <w:style w:type="paragraph" w:customStyle="1" w:styleId="4173">
    <w:name w:val="样式 4142 10 磅"/>
    <w:pPr>
      <w:widowControl w:val="0"/>
      <w:jc w:val="both"/>
    </w:pPr>
    <w:rPr>
      <w:rFonts w:ascii="Times New Roman" w:eastAsia="宋体" w:cs="Times New Roman" w:hAnsi="Times New Roman"/>
      <w:kern w:val="2"/>
      <w:sz w:val="21"/>
      <w:szCs w:val="24"/>
      <w:lang w:val="en-US" w:eastAsia="zh-CN" w:bidi="ar-SA"/>
    </w:rPr>
  </w:style>
  <w:style w:type="paragraph" w:customStyle="1" w:styleId="4174">
    <w:name w:val="样式 4143 10 磅"/>
    <w:pPr>
      <w:widowControl w:val="0"/>
      <w:jc w:val="both"/>
    </w:pPr>
    <w:rPr>
      <w:rFonts w:ascii="Times New Roman" w:eastAsia="宋体" w:cs="Times New Roman" w:hAnsi="Times New Roman"/>
      <w:kern w:val="2"/>
      <w:sz w:val="21"/>
      <w:szCs w:val="24"/>
      <w:lang w:val="en-US" w:eastAsia="zh-CN" w:bidi="ar-SA"/>
    </w:rPr>
  </w:style>
  <w:style w:type="paragraph" w:customStyle="1" w:styleId="4175">
    <w:name w:val="样式 4144 10 磅"/>
    <w:pPr>
      <w:widowControl w:val="0"/>
      <w:jc w:val="both"/>
    </w:pPr>
    <w:rPr>
      <w:rFonts w:ascii="Times New Roman" w:eastAsia="宋体" w:cs="Times New Roman" w:hAnsi="Times New Roman"/>
      <w:kern w:val="2"/>
      <w:sz w:val="21"/>
      <w:szCs w:val="24"/>
      <w:lang w:val="en-US" w:eastAsia="zh-CN" w:bidi="ar-SA"/>
    </w:rPr>
  </w:style>
  <w:style w:type="paragraph" w:customStyle="1" w:styleId="4176">
    <w:name w:val="样式 4145 10 磅"/>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6 10 磅"/>
    <w:pPr>
      <w:widowControl w:val="0"/>
      <w:jc w:val="both"/>
    </w:pPr>
    <w:rPr>
      <w:rFonts w:ascii="Times New Roman" w:eastAsia="宋体" w:cs="Times New Roman" w:hAnsi="Times New Roman"/>
      <w:kern w:val="2"/>
      <w:sz w:val="21"/>
      <w:szCs w:val="24"/>
      <w:lang w:val="en-US" w:eastAsia="zh-CN" w:bidi="ar-SA"/>
    </w:rPr>
  </w:style>
  <w:style w:type="paragraph" w:customStyle="1" w:styleId="4178">
    <w:name w:val="样式 4147 10 磅"/>
    <w:pPr>
      <w:widowControl w:val="0"/>
      <w:jc w:val="both"/>
    </w:pPr>
    <w:rPr>
      <w:rFonts w:ascii="Times New Roman" w:eastAsia="宋体" w:cs="Times New Roman" w:hAnsi="Times New Roman"/>
      <w:kern w:val="2"/>
      <w:sz w:val="21"/>
      <w:szCs w:val="24"/>
      <w:lang w:val="en-US" w:eastAsia="zh-CN" w:bidi="ar-SA"/>
    </w:rPr>
  </w:style>
  <w:style w:type="paragraph" w:customStyle="1" w:styleId="4179">
    <w:name w:val="样式 4148 10 磅"/>
    <w:pPr>
      <w:widowControl w:val="0"/>
      <w:jc w:val="both"/>
    </w:pPr>
    <w:rPr>
      <w:rFonts w:ascii="Times New Roman" w:eastAsia="宋体" w:cs="Times New Roman" w:hAnsi="Times New Roman"/>
      <w:kern w:val="2"/>
      <w:sz w:val="21"/>
      <w:szCs w:val="24"/>
      <w:lang w:val="en-US" w:eastAsia="zh-CN" w:bidi="ar-SA"/>
    </w:rPr>
  </w:style>
  <w:style w:type="paragraph" w:customStyle="1" w:styleId="4180">
    <w:name w:val="样式 4149 10 磅"/>
    <w:pPr>
      <w:widowControl w:val="0"/>
      <w:jc w:val="both"/>
    </w:pPr>
    <w:rPr>
      <w:rFonts w:ascii="Times New Roman" w:eastAsia="宋体" w:cs="Times New Roman" w:hAnsi="Times New Roman"/>
      <w:kern w:val="2"/>
      <w:sz w:val="21"/>
      <w:szCs w:val="24"/>
      <w:lang w:val="en-US" w:eastAsia="zh-CN" w:bidi="ar-SA"/>
    </w:rPr>
  </w:style>
  <w:style w:type="paragraph" w:customStyle="1" w:styleId="4181">
    <w:name w:val="样式 4150 10 磅"/>
    <w:pPr>
      <w:widowControl w:val="0"/>
      <w:jc w:val="both"/>
    </w:pPr>
    <w:rPr>
      <w:rFonts w:ascii="Times New Roman" w:eastAsia="宋体" w:cs="Times New Roman" w:hAnsi="Times New Roman"/>
      <w:kern w:val="2"/>
      <w:sz w:val="21"/>
      <w:szCs w:val="24"/>
      <w:lang w:val="en-US" w:eastAsia="zh-CN" w:bidi="ar-SA"/>
    </w:rPr>
  </w:style>
  <w:style w:type="paragraph" w:customStyle="1" w:styleId="4182">
    <w:name w:val="样式 4151 10 磅"/>
    <w:pPr>
      <w:widowControl w:val="0"/>
      <w:jc w:val="both"/>
    </w:pPr>
    <w:rPr>
      <w:rFonts w:ascii="Times New Roman" w:eastAsia="宋体" w:cs="Times New Roman" w:hAnsi="Times New Roman"/>
      <w:kern w:val="2"/>
      <w:sz w:val="21"/>
      <w:szCs w:val="24"/>
      <w:lang w:val="en-US" w:eastAsia="zh-CN" w:bidi="ar-SA"/>
    </w:rPr>
  </w:style>
  <w:style w:type="paragraph" w:customStyle="1" w:styleId="4183">
    <w:name w:val="样式 4152 10 磅"/>
    <w:pPr>
      <w:widowControl w:val="0"/>
      <w:jc w:val="both"/>
    </w:pPr>
    <w:rPr>
      <w:rFonts w:ascii="Times New Roman" w:eastAsia="宋体" w:cs="Times New Roman" w:hAnsi="Times New Roman"/>
      <w:kern w:val="2"/>
      <w:sz w:val="21"/>
      <w:szCs w:val="24"/>
      <w:lang w:val="en-US" w:eastAsia="zh-CN" w:bidi="ar-SA"/>
    </w:rPr>
  </w:style>
  <w:style w:type="paragraph" w:customStyle="1" w:styleId="4184">
    <w:name w:val="样式 4153 10 磅"/>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54 10 磅"/>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55 10 磅"/>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6 10 磅"/>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7 10 磅"/>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8 10 磅"/>
    <w:pPr>
      <w:widowControl w:val="0"/>
      <w:jc w:val="both"/>
    </w:pPr>
    <w:rPr>
      <w:rFonts w:ascii="Times New Roman" w:eastAsia="宋体" w:cs="Times New Roman" w:hAnsi="Times New Roman"/>
      <w:kern w:val="2"/>
      <w:sz w:val="21"/>
      <w:szCs w:val="24"/>
      <w:lang w:val="en-US" w:eastAsia="zh-CN" w:bidi="ar-SA"/>
    </w:rPr>
  </w:style>
  <w:style w:type="paragraph" w:customStyle="1" w:styleId="4190">
    <w:name w:val="样式 4159 10 磅"/>
    <w:pPr>
      <w:widowControl w:val="0"/>
      <w:jc w:val="both"/>
    </w:pPr>
    <w:rPr>
      <w:rFonts w:ascii="Times New Roman" w:eastAsia="宋体" w:cs="Times New Roman" w:hAnsi="Times New Roman"/>
      <w:kern w:val="2"/>
      <w:sz w:val="21"/>
      <w:szCs w:val="24"/>
      <w:lang w:val="en-US" w:eastAsia="zh-CN" w:bidi="ar-SA"/>
    </w:rPr>
  </w:style>
  <w:style w:type="paragraph" w:customStyle="1" w:styleId="4191">
    <w:name w:val="样式 4160 10 磅"/>
    <w:pPr>
      <w:widowControl w:val="0"/>
      <w:jc w:val="both"/>
    </w:pPr>
    <w:rPr>
      <w:rFonts w:ascii="Times New Roman" w:eastAsia="宋体" w:cs="Times New Roman" w:hAnsi="Times New Roman"/>
      <w:kern w:val="2"/>
      <w:sz w:val="21"/>
      <w:szCs w:val="24"/>
      <w:lang w:val="en-US" w:eastAsia="zh-CN" w:bidi="ar-SA"/>
    </w:rPr>
  </w:style>
  <w:style w:type="paragraph" w:customStyle="1" w:styleId="4192">
    <w:name w:val="样式 4161 10 磅"/>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62 10 磅"/>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63 10 磅"/>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64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65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6 10 磅"/>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167 10 磅"/>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168 10 磅"/>
    <w:pPr>
      <w:widowControl w:val="0"/>
      <w:jc w:val="both"/>
    </w:pPr>
    <w:rPr>
      <w:rFonts w:ascii="Times New Roman" w:eastAsia="宋体" w:cs="Times New Roman" w:hAnsi="Times New Roman"/>
      <w:kern w:val="2"/>
      <w:sz w:val="21"/>
      <w:szCs w:val="24"/>
      <w:lang w:val="en-US" w:eastAsia="zh-CN" w:bidi="ar-SA"/>
    </w:rPr>
  </w:style>
  <w:style w:type="paragraph" w:customStyle="1" w:styleId="4200">
    <w:name w:val="样式 4169 10 磅"/>
    <w:pPr>
      <w:widowControl w:val="0"/>
      <w:jc w:val="both"/>
    </w:pPr>
    <w:rPr>
      <w:rFonts w:ascii="Times New Roman" w:eastAsia="宋体" w:cs="Times New Roman" w:hAnsi="Times New Roman"/>
      <w:kern w:val="2"/>
      <w:sz w:val="21"/>
      <w:szCs w:val="24"/>
      <w:lang w:val="en-US" w:eastAsia="zh-CN" w:bidi="ar-SA"/>
    </w:rPr>
  </w:style>
  <w:style w:type="paragraph" w:customStyle="1" w:styleId="4201">
    <w:name w:val="样式 4170 10 磅"/>
    <w:pPr>
      <w:widowControl w:val="0"/>
      <w:jc w:val="both"/>
    </w:pPr>
    <w:rPr>
      <w:rFonts w:ascii="Times New Roman" w:eastAsia="宋体" w:cs="Times New Roman" w:hAnsi="Times New Roman"/>
      <w:kern w:val="2"/>
      <w:sz w:val="21"/>
      <w:szCs w:val="24"/>
      <w:lang w:val="en-US" w:eastAsia="zh-CN" w:bidi="ar-SA"/>
    </w:rPr>
  </w:style>
  <w:style w:type="paragraph" w:customStyle="1" w:styleId="4202">
    <w:name w:val="样式 4171 10 磅"/>
    <w:pPr>
      <w:widowControl w:val="0"/>
      <w:jc w:val="both"/>
    </w:pPr>
    <w:rPr>
      <w:rFonts w:ascii="Times New Roman" w:eastAsia="宋体" w:cs="Times New Roman" w:hAnsi="Times New Roman"/>
      <w:kern w:val="2"/>
      <w:sz w:val="21"/>
      <w:szCs w:val="24"/>
      <w:lang w:val="en-US" w:eastAsia="zh-CN" w:bidi="ar-SA"/>
    </w:rPr>
  </w:style>
  <w:style w:type="paragraph" w:customStyle="1" w:styleId="4203">
    <w:name w:val="样式 4172 10 磅"/>
    <w:pPr>
      <w:widowControl w:val="0"/>
      <w:jc w:val="both"/>
    </w:pPr>
    <w:rPr>
      <w:rFonts w:ascii="Times New Roman" w:eastAsia="宋体" w:cs="Times New Roman" w:hAnsi="Times New Roman"/>
      <w:kern w:val="2"/>
      <w:sz w:val="21"/>
      <w:szCs w:val="24"/>
      <w:lang w:val="en-US" w:eastAsia="zh-CN" w:bidi="ar-SA"/>
    </w:rPr>
  </w:style>
  <w:style w:type="paragraph" w:customStyle="1" w:styleId="4204">
    <w:name w:val="样式 4173 10 磅"/>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74 10 磅"/>
    <w:pPr>
      <w:widowControl w:val="0"/>
      <w:jc w:val="both"/>
    </w:pPr>
    <w:rPr>
      <w:rFonts w:ascii="Times New Roman" w:eastAsia="宋体" w:cs="Times New Roman" w:hAnsi="Times New Roman"/>
      <w:kern w:val="2"/>
      <w:sz w:val="21"/>
      <w:szCs w:val="24"/>
      <w:lang w:val="en-US" w:eastAsia="zh-CN" w:bidi="ar-SA"/>
    </w:rPr>
  </w:style>
  <w:style w:type="paragraph" w:customStyle="1" w:styleId="4206">
    <w:name w:val="样式 4175 10 磅"/>
    <w:pPr>
      <w:widowControl w:val="0"/>
      <w:jc w:val="both"/>
    </w:pPr>
    <w:rPr>
      <w:rFonts w:ascii="Times New Roman" w:eastAsia="宋体" w:cs="Times New Roman" w:hAnsi="Times New Roman"/>
      <w:kern w:val="2"/>
      <w:sz w:val="21"/>
      <w:szCs w:val="24"/>
      <w:lang w:val="en-US" w:eastAsia="zh-CN" w:bidi="ar-SA"/>
    </w:rPr>
  </w:style>
  <w:style w:type="paragraph" w:customStyle="1" w:styleId="4207">
    <w:name w:val="样式 4176 10 磅"/>
    <w:pPr>
      <w:widowControl w:val="0"/>
      <w:jc w:val="both"/>
    </w:pPr>
    <w:rPr>
      <w:rFonts w:ascii="Times New Roman" w:eastAsia="宋体" w:cs="Times New Roman" w:hAnsi="Times New Roman"/>
      <w:kern w:val="2"/>
      <w:sz w:val="21"/>
      <w:szCs w:val="24"/>
      <w:lang w:val="en-US" w:eastAsia="zh-CN" w:bidi="ar-SA"/>
    </w:rPr>
  </w:style>
  <w:style w:type="paragraph" w:customStyle="1" w:styleId="4208">
    <w:name w:val="样式 4177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8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79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80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81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82 10 磅"/>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183 10 磅"/>
    <w:pPr>
      <w:widowControl w:val="0"/>
      <w:jc w:val="both"/>
    </w:pPr>
    <w:rPr>
      <w:rFonts w:ascii="Times New Roman" w:eastAsia="宋体" w:cs="Times New Roman" w:hAnsi="Times New Roman"/>
      <w:kern w:val="2"/>
      <w:sz w:val="21"/>
      <w:szCs w:val="24"/>
      <w:lang w:val="en-US" w:eastAsia="zh-CN" w:bidi="ar-SA"/>
    </w:rPr>
  </w:style>
  <w:style w:type="paragraph" w:customStyle="1" w:styleId="4215">
    <w:name w:val="样式 4184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bmp"/><Relationship Id="rId7" Type="http://schemas.openxmlformats.org/officeDocument/2006/relationships/image" Target="media/17.bmp"/><Relationship Id="rId8" Type="http://schemas.openxmlformats.org/officeDocument/2006/relationships/image" Target="media/20.bmp"/><Relationship Id="rId9" Type="http://schemas.openxmlformats.org/officeDocument/2006/relationships/image" Target="media/23.bmp"/><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2356</TotalTime>
  <Application>Yozo_Office</Application>
  <Pages>39</Pages>
  <Words>11303</Words>
  <Characters>14390</Characters>
  <Lines>2080</Lines>
  <Paragraphs>1443</Paragraphs>
  <CharactersWithSpaces>14985</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杨师群</cp:lastModifiedBy>
  <cp:revision>67</cp:revision>
  <cp:lastPrinted>2025-04-24T01:25:01Z</cp:lastPrinted>
  <dcterms:created xsi:type="dcterms:W3CDTF">2025-03-11T08:31:00Z</dcterms:created>
  <dcterms:modified xsi:type="dcterms:W3CDTF">2025-04-24T05:53:20Z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