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福州长乐机场海关部门预算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5</w:t>
      </w:r>
      <w:r>
        <w:rPr>
          <w:rFonts w:ascii="Times New Roman" w:hAnsi="Times New Roman" w:hint="eastAsia"/>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福州长乐机场</w:t>
      </w:r>
      <w:r>
        <w:rPr>
          <w:rFonts w:ascii="宋体" w:hint="eastAsia"/>
          <w:b/>
          <w:sz w:val="44"/>
          <w:szCs w:val="44"/>
        </w:rPr>
        <w:t>海关部门概况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二、海关系统单位构成情况</w:t>
      </w:r>
      <w:r>
        <w:rPr>
          <w:rFonts w:hint="eastAsia"/>
          <w:sz w:val="36"/>
          <w:szCs w:val="36"/>
        </w:rPr>
        <w:t xml:space="preserve"> </w:t>
      </w:r>
    </w:p>
    <w:p>
      <w:pPr>
        <w:rPr>
          <w:b/>
          <w:sz w:val="44"/>
          <w:szCs w:val="44"/>
        </w:rPr>
      </w:pPr>
      <w:r>
        <w:rPr>
          <w:rFonts w:ascii="宋体" w:hint="eastAsia"/>
          <w:b/>
          <w:sz w:val="44"/>
          <w:szCs w:val="44"/>
        </w:rPr>
        <w:t>第二部分</w:t>
      </w:r>
      <w:r>
        <w:rPr>
          <w:rFonts w:hint="eastAsia"/>
          <w:b/>
          <w:sz w:val="44"/>
          <w:szCs w:val="44"/>
        </w:rPr>
        <w:t xml:space="preserve">  福州长乐机场</w:t>
      </w:r>
      <w:r>
        <w:rPr>
          <w:rFonts w:ascii="宋体" w:hint="eastAsia"/>
          <w:b/>
          <w:sz w:val="44"/>
          <w:szCs w:val="44"/>
        </w:rPr>
        <w:t>海关</w:t>
      </w:r>
      <w:r>
        <w:rPr>
          <w:b/>
          <w:sz w:val="44"/>
          <w:szCs w:val="44"/>
        </w:rPr>
        <w:t>2025</w:t>
      </w:r>
      <w:r>
        <w:rPr>
          <w:rFonts w:ascii="宋体" w:hint="eastAsia"/>
          <w:b/>
          <w:sz w:val="44"/>
          <w:szCs w:val="44"/>
        </w:rPr>
        <w:t>年部门预算表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sz w:val="36"/>
          <w:szCs w:val="36"/>
        </w:rPr>
      </w:pPr>
      <w:r>
        <w:rPr>
          <w:rFonts w:ascii="宋体" w:hint="eastAsia"/>
          <w:sz w:val="36"/>
          <w:szCs w:val="36"/>
        </w:rPr>
        <w:t>八、</w:t>
      </w:r>
      <w:r>
        <w:rPr>
          <w:rFonts w:ascii="宋体"/>
          <w:sz w:val="36"/>
          <w:szCs w:val="36"/>
        </w:rPr>
        <w:t>国有资本经营预算支出表</w:t>
      </w:r>
    </w:p>
    <w:p>
      <w:pPr>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rPr>
      </w:pPr>
      <w:r>
        <w:rPr>
          <w:rFonts w:ascii="宋体" w:hint="eastAsia"/>
          <w:b/>
          <w:sz w:val="44"/>
          <w:szCs w:val="44"/>
        </w:rPr>
        <w:t>第三部分</w:t>
      </w:r>
      <w:r>
        <w:rPr>
          <w:rFonts w:hint="eastAsia"/>
          <w:b/>
          <w:sz w:val="44"/>
          <w:szCs w:val="44"/>
        </w:rPr>
        <w:t xml:space="preserve">  福州长乐机场</w:t>
      </w:r>
      <w:r>
        <w:rPr>
          <w:rFonts w:ascii="宋体" w:hint="eastAsia"/>
          <w:b/>
          <w:sz w:val="44"/>
          <w:szCs w:val="44"/>
        </w:rPr>
        <w:t>海关</w:t>
      </w:r>
      <w:r>
        <w:rPr>
          <w:b/>
          <w:sz w:val="44"/>
          <w:szCs w:val="44"/>
        </w:rPr>
        <w:t>2025</w:t>
      </w:r>
      <w:r>
        <w:rPr>
          <w:rFonts w:ascii="宋体" w:hint="eastAsia"/>
          <w:b/>
          <w:sz w:val="44"/>
          <w:szCs w:val="44"/>
        </w:rPr>
        <w:t>年部门预算情况说明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rFonts w:ascii="宋体"/>
          <w:b/>
          <w:sz w:val="44"/>
          <w:szCs w:val="44"/>
        </w:rPr>
        <w:sectPr>
          <w:footerReference w:type="default" r:id="rId3"/>
          <w:pgSz w:w="11906" w:h="16838"/>
          <w:pgMar w:top="1440" w:right="1800" w:bottom="1440" w:left="1800" w:header="851" w:footer="992" w:gutter="0"/>
          <w:pgNumType w:start="1"/>
          <w:docGrid w:type="lines" w:linePitch="312" w:charSpace="0"/>
        </w:sect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hint="eastAsia"/>
          <w:b/>
          <w:sz w:val="84"/>
          <w:szCs w:val="84"/>
        </w:rPr>
        <w:t>福州长乐机场海关</w:t>
      </w:r>
      <w:r>
        <w:rPr>
          <w:rFonts w:ascii="Times New Roman" w:hAnsi="Times New Roman" w:hint="eastAsia"/>
          <w:b/>
          <w:sz w:val="84"/>
          <w:szCs w:val="84"/>
        </w:rPr>
        <w:t>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ind w:left="420"/>
        <w:rPr>
          <w:rFonts w:eastAsia="方正黑体_GBK"/>
          <w:sz w:val="32"/>
          <w:szCs w:val="32"/>
        </w:rPr>
      </w:pPr>
      <w:r>
        <w:rPr>
          <w:rFonts w:eastAsia="方正黑体_GBK" w:hint="eastAsia"/>
          <w:sz w:val="32"/>
          <w:szCs w:val="32"/>
        </w:rPr>
        <w:t>一、主要职能</w:t>
      </w:r>
    </w:p>
    <w:p>
      <w:pPr>
        <w:autoSpaceDN w:val="0"/>
        <w:spacing w:line="360" w:lineRule="auto"/>
        <w:ind w:firstLineChars="200" w:firstLine="640"/>
        <w:rPr>
          <w:rFonts w:eastAsia="方正仿宋_GBK"/>
          <w:sz w:val="32"/>
          <w:szCs w:val="32"/>
        </w:rPr>
      </w:pPr>
      <w:r>
        <w:rPr>
          <w:rFonts w:eastAsia="方正仿宋_GBK" w:hint="eastAsia"/>
          <w:sz w:val="32"/>
          <w:szCs w:val="32"/>
        </w:rPr>
        <w:t>福州长乐机场海关是受福州海关直接领导的正处级海关。依据《中华人民共和国海关法》等有关法律法规，按福州海关授权，履行下列职责：</w:t>
      </w:r>
    </w:p>
    <w:p>
      <w:pPr>
        <w:spacing w:line="560" w:lineRule="exact"/>
        <w:ind w:firstLineChars="200" w:firstLine="640"/>
        <w:rPr>
          <w:rFonts w:eastAsia="方正仿宋_GBK"/>
          <w:sz w:val="32"/>
          <w:szCs w:val="32"/>
        </w:rPr>
      </w:pPr>
      <w:r>
        <w:rPr>
          <w:rFonts w:eastAsia="方正仿宋_GBK" w:hint="eastAsia"/>
          <w:sz w:val="32"/>
          <w:szCs w:val="32"/>
        </w:rPr>
        <w:t>（一）负责福州长乐机场开放区域以及与机场密切配套的航空物流、维修等特殊区域及进出境商业快件、跨境电子商务等海关各类管理工作。</w:t>
      </w:r>
    </w:p>
    <w:p>
      <w:pPr>
        <w:spacing w:line="560" w:lineRule="exact"/>
        <w:ind w:firstLineChars="200" w:firstLine="640"/>
        <w:rPr>
          <w:rFonts w:eastAsia="方正仿宋_GBK"/>
          <w:sz w:val="32"/>
          <w:szCs w:val="32"/>
        </w:rPr>
      </w:pPr>
      <w:r>
        <w:rPr>
          <w:rFonts w:eastAsia="方正仿宋_GBK" w:hint="eastAsia"/>
          <w:sz w:val="32"/>
          <w:szCs w:val="32"/>
        </w:rPr>
        <w:t>（二）负责本关党的基层组织建设和干部队伍建设。</w:t>
      </w:r>
    </w:p>
    <w:p>
      <w:pPr>
        <w:spacing w:line="560" w:lineRule="exact"/>
        <w:ind w:firstLineChars="200" w:firstLine="640"/>
        <w:rPr>
          <w:rFonts w:eastAsia="方正仿宋_GBK"/>
          <w:sz w:val="32"/>
          <w:szCs w:val="32"/>
        </w:rPr>
      </w:pPr>
      <w:r>
        <w:rPr>
          <w:rFonts w:eastAsia="方正仿宋_GBK" w:hint="eastAsia"/>
          <w:sz w:val="32"/>
          <w:szCs w:val="32"/>
        </w:rPr>
        <w:t>（三）负责办理具体海关业务，反馈执法作业结果。</w:t>
      </w:r>
    </w:p>
    <w:p>
      <w:pPr>
        <w:spacing w:line="560" w:lineRule="exact"/>
        <w:ind w:firstLineChars="200" w:firstLine="640"/>
        <w:rPr>
          <w:rFonts w:ascii="方正仿宋_GBK" w:eastAsia="方正仿宋_GBK"/>
          <w:sz w:val="32"/>
          <w:szCs w:val="32"/>
        </w:rPr>
      </w:pPr>
      <w:r>
        <w:rPr>
          <w:rFonts w:eastAsia="方正仿宋_GBK" w:hint="eastAsia"/>
          <w:sz w:val="32"/>
          <w:szCs w:val="32"/>
        </w:rPr>
        <w:t>（四）负责承办上级交办的其他工作事项。</w:t>
      </w:r>
    </w:p>
    <w:p>
      <w:pPr>
        <w:spacing w:line="560" w:lineRule="exact"/>
        <w:ind w:firstLineChars="200" w:firstLine="640"/>
        <w:rPr>
          <w:rFonts w:eastAsia="方正黑体_GBK"/>
          <w:sz w:val="32"/>
          <w:szCs w:val="32"/>
        </w:rPr>
      </w:pPr>
      <w:r>
        <w:rPr>
          <w:rFonts w:eastAsia="方正黑体_GBK" w:hint="eastAsia"/>
          <w:sz w:val="32"/>
          <w:szCs w:val="32"/>
        </w:rPr>
        <w:t>二、福州长乐机场海关构成情况</w:t>
      </w:r>
    </w:p>
    <w:p>
      <w:pPr>
        <w:autoSpaceDN w:val="0"/>
        <w:spacing w:line="360" w:lineRule="auto"/>
        <w:ind w:firstLineChars="200" w:firstLine="640"/>
        <w:rPr>
          <w:rFonts w:eastAsia="方正仿宋_GBK"/>
          <w:sz w:val="32"/>
          <w:szCs w:val="32"/>
        </w:rPr>
      </w:pPr>
      <w:r>
        <w:rPr>
          <w:rFonts w:eastAsia="方正仿宋_GBK" w:hint="eastAsia"/>
          <w:sz w:val="32"/>
          <w:szCs w:val="32"/>
        </w:rPr>
        <w:t>福州长乐机场海关内设机构：</w:t>
      </w:r>
      <w:r>
        <w:rPr>
          <w:rFonts w:eastAsia="方正仿宋_GBK"/>
          <w:sz w:val="32"/>
          <w:szCs w:val="32"/>
        </w:rPr>
        <w:t>办公室</w:t>
      </w:r>
      <w:r>
        <w:rPr>
          <w:rFonts w:eastAsia="方正仿宋_GBK" w:hint="eastAsia"/>
          <w:sz w:val="32"/>
          <w:szCs w:val="32"/>
        </w:rPr>
        <w:t>（党委办公室）</w:t>
      </w:r>
      <w:r>
        <w:rPr>
          <w:rFonts w:eastAsia="方正仿宋_GBK"/>
          <w:sz w:val="32"/>
          <w:szCs w:val="32"/>
        </w:rPr>
        <w:t>、</w:t>
      </w:r>
      <w:r>
        <w:rPr>
          <w:rFonts w:eastAsia="方正仿宋_GBK" w:hint="eastAsia"/>
          <w:sz w:val="32"/>
          <w:szCs w:val="32"/>
        </w:rPr>
        <w:t>人事政工科（党委组织宣传部）</w:t>
      </w:r>
      <w:r>
        <w:rPr>
          <w:rFonts w:eastAsia="方正仿宋_GBK"/>
          <w:sz w:val="32"/>
          <w:szCs w:val="32"/>
        </w:rPr>
        <w:t>、</w:t>
      </w:r>
      <w:r>
        <w:rPr>
          <w:rFonts w:eastAsia="方正仿宋_GBK" w:hint="eastAsia"/>
          <w:sz w:val="32"/>
          <w:szCs w:val="32"/>
        </w:rPr>
        <w:t>行财科、综合业务科、法制科、监控科、监管科、快件科、旅检一科、旅检二科、旅检三、旅检四科、旅检五科。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纳入海关总署 202</w:t>
      </w:r>
      <w:r>
        <w:rPr>
          <w:rFonts w:ascii="Times New Roman" w:eastAsia="方正仿宋_GBK" w:hAnsi="Times New Roman"/>
          <w:sz w:val="32"/>
          <w:szCs w:val="32"/>
        </w:rPr>
        <w:t>5</w:t>
      </w:r>
      <w:r>
        <w:rPr>
          <w:rFonts w:ascii="Times New Roman" w:eastAsia="方正仿宋_GBK" w:hAnsi="Times New Roman" w:hint="eastAsia"/>
          <w:sz w:val="32"/>
          <w:szCs w:val="32"/>
        </w:rPr>
        <w:t>年部门预算编制范围的单位如下：</w:t>
      </w:r>
    </w:p>
    <w:tbl>
      <w:tblPr>
        <w:jc w:val="left"/>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1"/>
        <w:gridCol w:w="2913"/>
        <w:gridCol w:w="581"/>
        <w:gridCol w:w="4453"/>
      </w:tblGrid>
      <w:tr>
        <w:trPr>
          <w:trHeight w:val="391"/>
        </w:trPr>
        <w:tc>
          <w:tcPr>
            <w:tcW w:w="581"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2913"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c>
          <w:tcPr>
            <w:tcW w:w="581"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4453"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1</w:t>
            </w:r>
          </w:p>
        </w:tc>
        <w:tc>
          <w:tcPr>
            <w:tcW w:w="2913" w:type="dxa"/>
            <w:noWrap/>
            <w:vAlign w:val="center"/>
          </w:tcPr>
          <w:p>
            <w:pPr>
              <w:jc w:val="center"/>
              <w:rPr>
                <w:rFonts w:ascii="宋体"/>
                <w:color w:val="000000"/>
                <w:sz w:val="20"/>
                <w:szCs w:val="20"/>
              </w:rPr>
            </w:pPr>
            <w:r>
              <w:rPr>
                <w:rFonts w:ascii="宋体" w:hint="eastAsia"/>
                <w:color w:val="000000"/>
                <w:sz w:val="20"/>
                <w:szCs w:val="20"/>
              </w:rPr>
              <w:t>福州长乐机场海关</w:t>
            </w:r>
          </w:p>
        </w:tc>
        <w:tc>
          <w:tcPr>
            <w:tcW w:w="581" w:type="dxa"/>
            <w:noWrap/>
            <w:vAlign w:val="center"/>
          </w:tcPr>
          <w:p>
            <w:pPr>
              <w:jc w:val="center"/>
              <w:rPr>
                <w:rFonts w:eastAsia="方正黑体_GBK"/>
                <w:color w:val="000000"/>
                <w:sz w:val="20"/>
                <w:szCs w:val="20"/>
              </w:rPr>
            </w:pPr>
            <w:r>
              <w:rPr>
                <w:rFonts w:eastAsia="方正黑体_GBK" w:hint="eastAsia"/>
                <w:color w:val="000000"/>
                <w:sz w:val="20"/>
                <w:szCs w:val="20"/>
              </w:rPr>
              <w:t>6</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2</w:t>
            </w:r>
          </w:p>
        </w:tc>
        <w:tc>
          <w:tcPr>
            <w:tcW w:w="2913" w:type="dxa"/>
            <w:noWrap/>
            <w:vAlign w:val="center"/>
          </w:tcPr>
          <w:p>
            <w:pPr>
              <w:jc w:val="center"/>
              <w:rPr>
                <w:rFonts w:ascii="宋体"/>
                <w:color w:val="000000"/>
                <w:sz w:val="20"/>
                <w:szCs w:val="20"/>
              </w:rPr>
            </w:pPr>
          </w:p>
        </w:tc>
        <w:tc>
          <w:tcPr>
            <w:tcW w:w="581" w:type="dxa"/>
            <w:noWrap/>
            <w:vAlign w:val="center"/>
          </w:tcPr>
          <w:p>
            <w:pPr>
              <w:jc w:val="center"/>
              <w:rPr>
                <w:rFonts w:eastAsia="方正黑体_GBK"/>
                <w:color w:val="000000"/>
                <w:sz w:val="20"/>
                <w:szCs w:val="20"/>
              </w:rPr>
            </w:pPr>
            <w:r>
              <w:rPr>
                <w:rFonts w:eastAsia="方正黑体_GBK" w:hint="eastAsia"/>
                <w:color w:val="000000"/>
                <w:sz w:val="20"/>
                <w:szCs w:val="20"/>
              </w:rPr>
              <w:t>7</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3</w:t>
            </w:r>
          </w:p>
        </w:tc>
        <w:tc>
          <w:tcPr>
            <w:tcW w:w="2913" w:type="dxa"/>
            <w:noWrap/>
            <w:vAlign w:val="center"/>
          </w:tcPr>
          <w:p>
            <w:pPr>
              <w:rPr>
                <w:rFonts w:ascii="宋体"/>
                <w:color w:val="000000"/>
                <w:sz w:val="20"/>
                <w:szCs w:val="20"/>
              </w:rPr>
            </w:pPr>
          </w:p>
        </w:tc>
        <w:tc>
          <w:tcPr>
            <w:tcW w:w="581" w:type="dxa"/>
            <w:noWrap/>
            <w:vAlign w:val="center"/>
          </w:tcPr>
          <w:p>
            <w:pPr>
              <w:jc w:val="center"/>
              <w:rPr>
                <w:rFonts w:eastAsia="方正黑体_GBK"/>
                <w:color w:val="000000"/>
                <w:sz w:val="20"/>
                <w:szCs w:val="20"/>
              </w:rPr>
            </w:pPr>
            <w:r>
              <w:rPr>
                <w:rFonts w:eastAsia="方正黑体_GBK" w:hint="eastAsia"/>
                <w:color w:val="000000"/>
                <w:sz w:val="20"/>
                <w:szCs w:val="20"/>
              </w:rPr>
              <w:t>8</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4</w:t>
            </w:r>
          </w:p>
        </w:tc>
        <w:tc>
          <w:tcPr>
            <w:tcW w:w="2913" w:type="dxa"/>
            <w:noWrap/>
            <w:vAlign w:val="center"/>
          </w:tcPr>
          <w:p>
            <w:pPr>
              <w:rPr>
                <w:rFonts w:ascii="宋体"/>
                <w:color w:val="000000"/>
                <w:sz w:val="20"/>
                <w:szCs w:val="20"/>
              </w:rPr>
            </w:pPr>
          </w:p>
        </w:tc>
        <w:tc>
          <w:tcPr>
            <w:tcW w:w="581" w:type="dxa"/>
            <w:noWrap/>
            <w:vAlign w:val="center"/>
          </w:tcPr>
          <w:p>
            <w:pPr>
              <w:jc w:val="center"/>
              <w:rPr>
                <w:rFonts w:eastAsia="方正黑体_GBK"/>
                <w:color w:val="000000"/>
                <w:sz w:val="20"/>
                <w:szCs w:val="20"/>
              </w:rPr>
            </w:pPr>
            <w:r>
              <w:rPr>
                <w:rFonts w:eastAsia="方正黑体_GBK" w:hint="eastAsia"/>
                <w:color w:val="000000"/>
                <w:sz w:val="20"/>
                <w:szCs w:val="20"/>
              </w:rPr>
              <w:t>9</w:t>
            </w:r>
          </w:p>
        </w:tc>
        <w:tc>
          <w:tcPr>
            <w:tcW w:w="4453" w:type="dxa"/>
            <w:noWrap/>
            <w:vAlign w:val="center"/>
          </w:tcPr>
          <w:p>
            <w:pPr>
              <w:jc w:val="center"/>
              <w:rPr>
                <w:rFonts w:ascii="宋体"/>
                <w:color w:val="000000"/>
                <w:sz w:val="20"/>
                <w:szCs w:val="20"/>
              </w:rPr>
            </w:pPr>
          </w:p>
        </w:tc>
      </w:tr>
      <w:tr>
        <w:trPr>
          <w:trHeight w:val="391"/>
        </w:trPr>
        <w:tc>
          <w:tcPr>
            <w:tcW w:w="581" w:type="dxa"/>
            <w:noWrap/>
            <w:vAlign w:val="center"/>
          </w:tcPr>
          <w:p>
            <w:pPr>
              <w:jc w:val="center"/>
              <w:rPr>
                <w:rFonts w:eastAsia="方正黑体_GBK"/>
                <w:color w:val="000000"/>
                <w:sz w:val="20"/>
                <w:szCs w:val="20"/>
              </w:rPr>
            </w:pPr>
            <w:r>
              <w:rPr>
                <w:rFonts w:eastAsia="方正黑体_GBK"/>
                <w:color w:val="000000"/>
                <w:sz w:val="20"/>
                <w:szCs w:val="20"/>
              </w:rPr>
              <w:t>5</w:t>
            </w:r>
          </w:p>
        </w:tc>
        <w:tc>
          <w:tcPr>
            <w:tcW w:w="2913" w:type="dxa"/>
            <w:noWrap/>
            <w:vAlign w:val="center"/>
          </w:tcPr>
          <w:p>
            <w:pPr>
              <w:rPr>
                <w:rFonts w:ascii="宋体"/>
                <w:color w:val="000000"/>
                <w:sz w:val="20"/>
                <w:szCs w:val="20"/>
              </w:rPr>
            </w:pPr>
          </w:p>
        </w:tc>
        <w:tc>
          <w:tcPr>
            <w:tcW w:w="581" w:type="dxa"/>
            <w:noWrap/>
            <w:vAlign w:val="center"/>
          </w:tcPr>
          <w:p>
            <w:pPr>
              <w:jc w:val="center"/>
              <w:rPr>
                <w:rFonts w:eastAsia="方正黑体_GBK"/>
                <w:color w:val="000000"/>
                <w:sz w:val="20"/>
                <w:szCs w:val="20"/>
              </w:rPr>
            </w:pPr>
            <w:r>
              <w:rPr>
                <w:rFonts w:eastAsia="方正黑体_GBK" w:hint="eastAsia"/>
                <w:color w:val="000000"/>
                <w:sz w:val="20"/>
                <w:szCs w:val="20"/>
              </w:rPr>
              <w:t>10</w:t>
            </w:r>
          </w:p>
        </w:tc>
        <w:tc>
          <w:tcPr>
            <w:tcW w:w="4453" w:type="dxa"/>
            <w:noWrap/>
            <w:vAlign w:val="center"/>
          </w:tcPr>
          <w:p>
            <w:pPr>
              <w:jc w:val="center"/>
              <w:rPr>
                <w:rFonts w:ascii="宋体"/>
                <w:color w:val="000000"/>
                <w:sz w:val="20"/>
                <w:szCs w:val="20"/>
              </w:rPr>
            </w:pPr>
          </w:p>
        </w:tc>
      </w:tr>
    </w:tbl>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p>
    <w:p>
      <w:pPr>
        <w:jc w:val="center"/>
        <w:rPr>
          <w:rFonts w:ascii="Times New Roman" w:hAnsi="Times New Roman"/>
          <w:szCs w:val="21"/>
        </w:rPr>
      </w:pPr>
      <w:r>
        <w:rPr>
          <w:rFonts w:hint="eastAsia"/>
          <w:b/>
          <w:sz w:val="72"/>
          <w:szCs w:val="72"/>
        </w:rPr>
        <w:t>福州长乐机场海关</w:t>
      </w:r>
      <w:r>
        <w:rPr>
          <w:rFonts w:ascii="Times New Roman" w:hAnsi="Times New Roman"/>
          <w:b/>
          <w:sz w:val="72"/>
          <w:szCs w:val="72"/>
        </w:rPr>
        <w:t>2025</w:t>
      </w:r>
      <w:r>
        <w:rPr>
          <w:rFonts w:ascii="Times New Roman" w:hAnsi="Times New Roman" w:hint="eastAsia"/>
          <w:b/>
          <w:sz w:val="72"/>
          <w:szCs w:val="72"/>
        </w:rPr>
        <w:t>年部门预算表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33</w:t>
            </w:r>
            <w:r>
              <w:rPr>
                <w:rFonts w:ascii="Times New Roman" w:cs="Times New Roman" w:hAnsi="Times New Roman"/>
                <w:color w:val="000000"/>
                <w:kern w:val="0"/>
                <w:sz w:val="20"/>
                <w:szCs w:val="20"/>
              </w:rPr>
              <w:t xml:space="preserve">76.77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4</w:t>
            </w:r>
            <w:r>
              <w:rPr>
                <w:rFonts w:ascii="Times New Roman" w:cs="Times New Roman" w:hAnsi="Times New Roman"/>
                <w:color w:val="000000"/>
                <w:kern w:val="0"/>
                <w:sz w:val="20"/>
                <w:szCs w:val="20"/>
              </w:rPr>
              <w:t xml:space="preserve">612.44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3</w:t>
            </w:r>
            <w:r>
              <w:rPr>
                <w:rFonts w:ascii="Times New Roman" w:cs="Times New Roman" w:hAnsi="Times New Roman"/>
                <w:color w:val="000000"/>
                <w:kern w:val="0"/>
                <w:sz w:val="20"/>
                <w:szCs w:val="20"/>
              </w:rPr>
              <w:t xml:space="preserve">77.69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594.47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2015</w:t>
            </w:r>
            <w:r>
              <w:rPr>
                <w:rFonts w:ascii="Times New Roman" w:cs="Times New Roman" w:hAnsi="Times New Roman" w:hint="eastAsia"/>
                <w:color w:val="000000"/>
                <w:kern w:val="0"/>
                <w:sz w:val="20"/>
                <w:szCs w:val="20"/>
              </w:rPr>
              <w:t>.00</w:t>
            </w: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281.71</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507.06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八、其他支出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122.00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5391</w:t>
            </w:r>
            <w:r>
              <w:rPr>
                <w:rFonts w:ascii="Times New Roman" w:cs="Times New Roman" w:hAnsi="Times New Roman" w:hint="eastAsia"/>
                <w:color w:val="000000"/>
                <w:kern w:val="0"/>
                <w:sz w:val="20"/>
                <w:szCs w:val="20"/>
              </w:rPr>
              <w:t>.7</w:t>
            </w:r>
            <w:r>
              <w:rPr>
                <w:rFonts w:ascii="Times New Roman" w:cs="Times New Roman" w:hAnsi="Times New Roman"/>
                <w:color w:val="000000"/>
                <w:kern w:val="0"/>
                <w:sz w:val="20"/>
                <w:szCs w:val="20"/>
              </w:rPr>
              <w:t xml:space="preserve">7 </w:t>
            </w:r>
          </w:p>
        </w:tc>
        <w:tc>
          <w:tcPr>
            <w:tcW w:w="382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6495.37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1103.60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收    入    总    计</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6</w:t>
            </w:r>
            <w:r>
              <w:rPr>
                <w:rFonts w:ascii="Times New Roman" w:cs="Times New Roman" w:hAnsi="Times New Roman"/>
                <w:color w:val="000000"/>
                <w:kern w:val="0"/>
                <w:sz w:val="20"/>
                <w:szCs w:val="20"/>
              </w:rPr>
              <w:t xml:space="preserve">495.37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支</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出</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总</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6495.37</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6</w:t>
            </w:r>
            <w:r>
              <w:rPr>
                <w:rFonts w:ascii="Times New Roman" w:cs="宋体" w:hAnsi="Times New Roman"/>
                <w:kern w:val="0"/>
                <w:sz w:val="20"/>
                <w:szCs w:val="20"/>
              </w:rPr>
              <w:t>495.37</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ind w:right="200"/>
              <w:jc w:val="right"/>
              <w:rPr>
                <w:rFonts w:ascii="Times New Roman" w:cs="宋体" w:hAnsi="Times New Roman"/>
                <w:kern w:val="0"/>
                <w:sz w:val="20"/>
                <w:szCs w:val="20"/>
              </w:rPr>
            </w:pPr>
            <w:r>
              <w:rPr>
                <w:rFonts w:ascii="Times New Roman" w:cs="宋体" w:hAnsi="Times New Roman"/>
                <w:kern w:val="0"/>
                <w:sz w:val="20"/>
                <w:szCs w:val="20"/>
              </w:rPr>
              <w:t>1103.60</w:t>
            </w:r>
          </w:p>
        </w:tc>
        <w:tc>
          <w:tcPr>
            <w:tcW w:w="122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i/>
                <w:iCs/>
                <w:kern w:val="0"/>
                <w:sz w:val="20"/>
                <w:szCs w:val="20"/>
              </w:rPr>
            </w:pPr>
            <w:r>
              <w:rPr>
                <w:rFonts w:ascii="Times New Roman" w:cs="宋体" w:hAnsi="Times New Roman"/>
                <w:kern w:val="0"/>
                <w:sz w:val="20"/>
                <w:szCs w:val="20"/>
              </w:rPr>
              <w:t>3376.77</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widowControl/>
              <w:ind w:right="800"/>
              <w:jc w:val="right"/>
              <w:rPr>
                <w:rFonts w:ascii="Times New Roman"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ind w:right="800"/>
              <w:rPr>
                <w:rFonts w:ascii="Times New Roman"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087"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6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2015</w:t>
            </w:r>
          </w:p>
        </w:tc>
        <w:tc>
          <w:tcPr>
            <w:tcW w:w="129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048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9"/>
        <w:gridCol w:w="2126"/>
        <w:gridCol w:w="1332"/>
        <w:gridCol w:w="1332"/>
        <w:gridCol w:w="1173"/>
        <w:gridCol w:w="993"/>
        <w:gridCol w:w="1134"/>
        <w:gridCol w:w="1275"/>
      </w:tblGrid>
      <w:tr>
        <w:trPr>
          <w:trHeight w:val="319"/>
        </w:trPr>
        <w:tc>
          <w:tcPr>
            <w:tcW w:w="10483" w:type="dxa"/>
            <w:gridSpan w:val="8"/>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0483"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1119" w:type="dxa"/>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p>
        </w:tc>
        <w:tc>
          <w:tcPr>
            <w:tcW w:w="212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17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402" w:type="dxa"/>
            <w:gridSpan w:val="3"/>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 xml:space="preserve"> 单位：万元 </w:t>
            </w:r>
          </w:p>
        </w:tc>
      </w:tr>
      <w:tr>
        <w:trPr>
          <w:trHeight w:val="540"/>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科目代码 </w:t>
            </w:r>
          </w:p>
        </w:tc>
        <w:tc>
          <w:tcPr>
            <w:tcW w:w="21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科目名称 </w:t>
            </w:r>
          </w:p>
        </w:tc>
        <w:tc>
          <w:tcPr>
            <w:tcW w:w="13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合计 </w:t>
            </w:r>
          </w:p>
        </w:tc>
        <w:tc>
          <w:tcPr>
            <w:tcW w:w="13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基本支出 </w:t>
            </w:r>
          </w:p>
        </w:tc>
        <w:tc>
          <w:tcPr>
            <w:tcW w:w="117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项目支出 </w:t>
            </w:r>
          </w:p>
        </w:tc>
        <w:tc>
          <w:tcPr>
            <w:tcW w:w="9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上缴上级支出 </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事业单位经营支出 </w:t>
            </w:r>
          </w:p>
        </w:tc>
        <w:tc>
          <w:tcPr>
            <w:tcW w:w="1275"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对附属单位补助支出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福州长乐机场海关</w:t>
            </w:r>
          </w:p>
        </w:tc>
        <w:tc>
          <w:tcPr>
            <w:tcW w:w="1332" w:type="dxa"/>
            <w:tcBorders>
              <w:top w:val="nil"/>
              <w:left w:val="nil"/>
              <w:bottom w:val="single" w:sz="4" w:space="0" w:color="auto"/>
              <w:right w:val="single" w:sz="4" w:space="0" w:color="auto"/>
            </w:tcBorders>
            <w:shd w:val="clear" w:color="auto" w:fill="auto"/>
            <w:noWrap/>
            <w:vAlign w:val="center"/>
          </w:tcPr>
          <w:p>
            <w:pPr>
              <w:pStyle w:val="31"/>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6</w:t>
            </w:r>
            <w:r>
              <w:rPr>
                <w:rFonts w:ascii="Times New Roman" w:cs="Times New Roman" w:hAnsi="Times New Roman"/>
                <w:b/>
                <w:color w:val="000000"/>
                <w:kern w:val="0"/>
                <w:sz w:val="20"/>
                <w:szCs w:val="20"/>
              </w:rPr>
              <w:t>495.37</w:t>
            </w:r>
          </w:p>
        </w:tc>
        <w:tc>
          <w:tcPr>
            <w:tcW w:w="1332" w:type="dxa"/>
            <w:tcBorders>
              <w:top w:val="nil"/>
              <w:left w:val="nil"/>
              <w:bottom w:val="single" w:sz="4" w:space="0" w:color="auto"/>
              <w:right w:val="single" w:sz="4" w:space="0" w:color="auto"/>
            </w:tcBorders>
            <w:shd w:val="clear" w:color="auto" w:fill="auto"/>
            <w:noWrap/>
            <w:vAlign w:val="center"/>
          </w:tcPr>
          <w:p>
            <w:pPr>
              <w:pStyle w:val="32"/>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59</w:t>
            </w:r>
            <w:r>
              <w:rPr>
                <w:rFonts w:ascii="Times New Roman" w:cs="Times New Roman" w:hAnsi="Times New Roman"/>
                <w:b/>
                <w:color w:val="000000"/>
                <w:kern w:val="0"/>
                <w:sz w:val="20"/>
                <w:szCs w:val="20"/>
              </w:rPr>
              <w:t>97.47</w:t>
            </w:r>
          </w:p>
        </w:tc>
        <w:tc>
          <w:tcPr>
            <w:tcW w:w="1173" w:type="dxa"/>
            <w:tcBorders>
              <w:top w:val="nil"/>
              <w:left w:val="nil"/>
              <w:bottom w:val="single" w:sz="4" w:space="0" w:color="auto"/>
              <w:right w:val="single" w:sz="4" w:space="0" w:color="auto"/>
            </w:tcBorders>
            <w:shd w:val="clear" w:color="auto" w:fill="auto"/>
            <w:noWrap/>
            <w:vAlign w:val="center"/>
          </w:tcPr>
          <w:p>
            <w:pPr>
              <w:pStyle w:val="33"/>
              <w:widowControl/>
              <w:wordWrap w:val="0"/>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497.90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一般公共服务支出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4612.44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42</w:t>
            </w:r>
            <w:r>
              <w:rPr>
                <w:rFonts w:ascii="Times New Roman" w:cs="Times New Roman" w:hAnsi="Times New Roman"/>
                <w:b/>
                <w:bCs/>
                <w:color w:val="000000"/>
                <w:kern w:val="0"/>
                <w:sz w:val="20"/>
                <w:szCs w:val="20"/>
              </w:rPr>
              <w:t>96.54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315.90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20109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海关事务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4</w:t>
            </w:r>
            <w:r>
              <w:rPr>
                <w:rFonts w:ascii="Times New Roman" w:cs="Times New Roman" w:hAnsi="Times New Roman"/>
                <w:b/>
                <w:bCs/>
                <w:color w:val="000000"/>
                <w:kern w:val="0"/>
                <w:sz w:val="20"/>
                <w:szCs w:val="20"/>
              </w:rPr>
              <w:t>612.44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4</w:t>
            </w:r>
            <w:r>
              <w:rPr>
                <w:rFonts w:ascii="Times New Roman" w:cs="Times New Roman" w:hAnsi="Times New Roman"/>
                <w:b/>
                <w:bCs/>
                <w:color w:val="000000"/>
                <w:kern w:val="0"/>
                <w:sz w:val="20"/>
                <w:szCs w:val="20"/>
              </w:rPr>
              <w:t>296.54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315.90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4296.54</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4296.54</w:t>
            </w: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机关服务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缉私办案</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2.91</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2.91</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2010907</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口岸管理</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2010908</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海关关务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229.41</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r>
              <w:rPr>
                <w:rFonts w:ascii="Times New Roman" w:hAnsi="Times New Roman"/>
              </w:rPr>
              <w:t>229.41</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关税征管</w:t>
            </w: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332"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1173" w:type="dxa"/>
            <w:tcBorders>
              <w:top w:val="nil"/>
              <w:left w:val="nil"/>
              <w:bottom w:val="single" w:sz="4" w:space="0" w:color="auto"/>
              <w:right w:val="single" w:sz="4" w:space="0" w:color="auto"/>
            </w:tcBorders>
            <w:shd w:val="clear" w:color="auto" w:fill="auto"/>
            <w:noWrap/>
          </w:tcPr>
          <w:p>
            <w:pPr>
              <w:jc w:val="right"/>
              <w:rPr>
                <w:rFonts w:ascii="Times New Roman" w:hAnsi="Times New Roman"/>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海关监管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70.00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70.00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检验检疫</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3.58</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3.58</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2010950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事业运行</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其他海关事务支出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20111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纪检监察事务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2011105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派驻派出机构</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外交支出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对外援助</w:t>
            </w:r>
          </w:p>
        </w:tc>
        <w:tc>
          <w:tcPr>
            <w:tcW w:w="1332" w:type="dxa"/>
            <w:tcBorders>
              <w:top w:val="nil"/>
              <w:left w:val="nil"/>
              <w:bottom w:val="single" w:sz="4" w:space="0" w:color="auto"/>
              <w:right w:val="single" w:sz="4" w:space="0" w:color="auto"/>
            </w:tcBorders>
            <w:shd w:val="clear" w:color="auto" w:fill="auto"/>
            <w:noWrap/>
            <w:vAlign w:val="center"/>
          </w:tcPr>
          <w:p>
            <w:pPr>
              <w:widowControl/>
              <w:ind w:right="201"/>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2020306</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对外援助</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20204</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国际组织</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2020401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国际组织会费</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2020402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国际组织捐赠</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 xml:space="preserve">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对外合作与交流</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2020599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其他对外合作与交流支出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其他外交支出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2029999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其他外交支出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公共安全支出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3</w:t>
            </w:r>
            <w:r>
              <w:rPr>
                <w:rFonts w:ascii="Times New Roman" w:cs="Times New Roman" w:hAnsi="Times New Roman"/>
                <w:b/>
                <w:bCs/>
                <w:color w:val="000000"/>
                <w:kern w:val="0"/>
                <w:sz w:val="20"/>
                <w:szCs w:val="20"/>
              </w:rPr>
              <w:t>77.69</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317.69</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20410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缉私警察</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3</w:t>
            </w:r>
            <w:r>
              <w:rPr>
                <w:rFonts w:ascii="Times New Roman" w:cs="Times New Roman" w:hAnsi="Times New Roman"/>
                <w:b/>
                <w:bCs/>
                <w:color w:val="000000"/>
                <w:kern w:val="0"/>
                <w:sz w:val="20"/>
                <w:szCs w:val="20"/>
              </w:rPr>
              <w:t>77.69</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b/>
                <w:bCs/>
                <w:color w:val="000000"/>
                <w:kern w:val="0"/>
                <w:sz w:val="20"/>
                <w:szCs w:val="20"/>
              </w:rPr>
              <w:t>317.69</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color w:val="000000"/>
                <w:kern w:val="0"/>
                <w:sz w:val="20"/>
                <w:szCs w:val="20"/>
              </w:rPr>
            </w:pPr>
            <w:r>
              <w:rPr>
                <w:rFonts w:ascii="Times New Roman" w:cs="Times New Roman" w:hAnsi="Times New Roman" w:hint="eastAsia"/>
                <w:b/>
                <w:bCs/>
                <w:color w:val="000000"/>
                <w:kern w:val="0"/>
                <w:sz w:val="20"/>
                <w:szCs w:val="20"/>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317.69</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317.69</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科目代码</w:t>
            </w:r>
          </w:p>
        </w:tc>
        <w:tc>
          <w:tcPr>
            <w:tcW w:w="212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133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合计</w:t>
            </w:r>
          </w:p>
        </w:tc>
        <w:tc>
          <w:tcPr>
            <w:tcW w:w="133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117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c>
          <w:tcPr>
            <w:tcW w:w="99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上缴上级支出</w:t>
            </w:r>
          </w:p>
        </w:tc>
        <w:tc>
          <w:tcPr>
            <w:tcW w:w="1134"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事业单位经营支出</w:t>
            </w:r>
          </w:p>
        </w:tc>
        <w:tc>
          <w:tcPr>
            <w:tcW w:w="1275"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对附属单位补助支出</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2041006</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2041007</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缉私业务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60.00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其他缉私警察支出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教育支出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20502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普通教育</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2050205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高等教育</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594.47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594.47</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行政事业单位养老支出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594.47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594.47</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行政单位离退休</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82</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w:t>
            </w:r>
            <w:r>
              <w:rPr>
                <w:rFonts w:ascii="Times New Roman" w:cs="Times New Roman" w:hAnsi="Times New Roman"/>
                <w:color w:val="000000"/>
                <w:kern w:val="0"/>
                <w:sz w:val="20"/>
                <w:szCs w:val="20"/>
              </w:rPr>
              <w:t>82</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事业单位离退休</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离退休人员管理机构</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2080505</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机关事业单位基本养老保险缴费支出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482.44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482.44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2080506</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机关事业单位职业年金缴费支出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110.21</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110.21</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2089901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2089999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210</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卫生健康支出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281.71</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281.71</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21011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行政事业单位医疗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281.71</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281.71</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195.57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195.57</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公务员医疗补助</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84.84</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84.84</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2101199</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其他行政事业单位医疗支出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1.30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1.30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住房保障支出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507.06</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507.06</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22102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住房改革支出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507.06</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507.06</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2210201</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住房公积金</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3</w:t>
            </w:r>
            <w:r>
              <w:rPr>
                <w:rFonts w:ascii="Times New Roman" w:cs="Times New Roman" w:hAnsi="Times New Roman"/>
                <w:color w:val="000000"/>
                <w:kern w:val="0"/>
                <w:sz w:val="20"/>
                <w:szCs w:val="20"/>
              </w:rPr>
              <w:t>70.80</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3</w:t>
            </w:r>
            <w:r>
              <w:rPr>
                <w:rFonts w:ascii="Times New Roman" w:cs="Times New Roman" w:hAnsi="Times New Roman"/>
                <w:color w:val="000000"/>
                <w:kern w:val="0"/>
                <w:sz w:val="20"/>
                <w:szCs w:val="20"/>
              </w:rPr>
              <w:t>70.80</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2210202</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提租补贴</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2210203</w:t>
            </w:r>
          </w:p>
        </w:tc>
        <w:tc>
          <w:tcPr>
            <w:tcW w:w="2126"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购房补贴</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136.26</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136.26</w:t>
            </w: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59"/>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w:t>
            </w:r>
            <w:r>
              <w:rPr>
                <w:rFonts w:ascii="Times New Roman" w:cs="宋体" w:hAnsi="Times New Roman"/>
                <w:b/>
                <w:color w:val="000000"/>
                <w:kern w:val="0"/>
                <w:sz w:val="20"/>
                <w:szCs w:val="20"/>
              </w:rPr>
              <w:t>9</w:t>
            </w:r>
          </w:p>
        </w:tc>
        <w:tc>
          <w:tcPr>
            <w:tcW w:w="212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b/>
                <w:color w:val="000000"/>
                <w:kern w:val="0"/>
                <w:sz w:val="20"/>
                <w:szCs w:val="20"/>
              </w:rPr>
              <w:t>其他支出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122</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122</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59"/>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b/>
                <w:color w:val="000000"/>
                <w:kern w:val="0"/>
                <w:sz w:val="20"/>
                <w:szCs w:val="20"/>
              </w:rPr>
              <w:t>22998</w:t>
            </w:r>
          </w:p>
        </w:tc>
        <w:tc>
          <w:tcPr>
            <w:tcW w:w="212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color w:val="000000"/>
                <w:kern w:val="0"/>
                <w:sz w:val="20"/>
                <w:szCs w:val="20"/>
              </w:rPr>
            </w:pPr>
            <w:r>
              <w:rPr>
                <w:rFonts w:ascii="Times New Roman" w:cs="宋体" w:hAnsi="Times New Roman"/>
                <w:b/>
                <w:color w:val="000000"/>
                <w:kern w:val="0"/>
                <w:sz w:val="20"/>
                <w:szCs w:val="20"/>
              </w:rPr>
              <w:t>超长期特别国债安排的其他支出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122</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122</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59"/>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r>
              <w:rPr>
                <w:rFonts w:ascii="Times New Roman" w:cs="宋体" w:hAnsi="Times New Roman" w:hint="eastAsia"/>
                <w:color w:val="000000"/>
                <w:kern w:val="0"/>
                <w:sz w:val="20"/>
                <w:szCs w:val="20"/>
              </w:rPr>
              <w:t>2299899</w:t>
            </w:r>
          </w:p>
        </w:tc>
        <w:tc>
          <w:tcPr>
            <w:tcW w:w="212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r>
              <w:rPr>
                <w:rFonts w:ascii="Times New Roman" w:cs="宋体" w:hAnsi="Times New Roman" w:hint="eastAsia"/>
                <w:color w:val="000000"/>
                <w:kern w:val="0"/>
                <w:sz w:val="20"/>
                <w:szCs w:val="20"/>
              </w:rPr>
              <w:t>其他支出</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hint="eastAsia"/>
                <w:color w:val="000000"/>
                <w:kern w:val="0"/>
                <w:sz w:val="20"/>
                <w:szCs w:val="20"/>
              </w:rPr>
            </w:pPr>
            <w:r>
              <w:rPr>
                <w:rFonts w:ascii="Times New Roman" w:cs="宋体" w:hAnsi="Times New Roman" w:hint="eastAsia"/>
                <w:color w:val="000000"/>
                <w:kern w:val="0"/>
                <w:sz w:val="20"/>
                <w:szCs w:val="20"/>
              </w:rPr>
              <w:t>122</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hint="eastAsia"/>
                <w:color w:val="000000"/>
                <w:kern w:val="0"/>
                <w:sz w:val="20"/>
                <w:szCs w:val="20"/>
              </w:rPr>
            </w:pPr>
            <w:r>
              <w:rPr>
                <w:rFonts w:ascii="Times New Roman" w:cs="宋体" w:hAnsi="Times New Roman" w:hint="eastAsia"/>
                <w:color w:val="000000"/>
                <w:kern w:val="0"/>
                <w:sz w:val="20"/>
                <w:szCs w:val="20"/>
              </w:rPr>
              <w:t>122</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hint="eastAsia"/>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r>
        <w:trPr>
          <w:trHeight w:val="360"/>
        </w:trPr>
        <w:tc>
          <w:tcPr>
            <w:tcW w:w="3244"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合      计</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6</w:t>
            </w:r>
            <w:r>
              <w:rPr>
                <w:rFonts w:ascii="Times New Roman" w:cs="Times New Roman" w:hAnsi="Times New Roman"/>
                <w:b/>
                <w:color w:val="000000"/>
                <w:kern w:val="0"/>
                <w:sz w:val="20"/>
                <w:szCs w:val="20"/>
              </w:rPr>
              <w:t>495.37</w:t>
            </w:r>
          </w:p>
        </w:tc>
        <w:tc>
          <w:tcPr>
            <w:tcW w:w="133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rPr>
              <w:t>59</w:t>
            </w:r>
            <w:r>
              <w:rPr>
                <w:rFonts w:ascii="Times New Roman" w:cs="Times New Roman" w:hAnsi="Times New Roman"/>
                <w:b/>
                <w:color w:val="000000"/>
                <w:kern w:val="0"/>
                <w:sz w:val="20"/>
                <w:szCs w:val="20"/>
              </w:rPr>
              <w:t>97.47</w:t>
            </w:r>
          </w:p>
        </w:tc>
        <w:tc>
          <w:tcPr>
            <w:tcW w:w="117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b/>
                <w:color w:val="000000"/>
                <w:kern w:val="0"/>
                <w:sz w:val="20"/>
                <w:szCs w:val="20"/>
              </w:rPr>
            </w:pPr>
            <w:r>
              <w:rPr>
                <w:rFonts w:ascii="Times New Roman" w:cs="Times New Roman" w:hAnsi="Times New Roman"/>
                <w:b/>
                <w:color w:val="000000"/>
                <w:kern w:val="0"/>
                <w:sz w:val="20"/>
                <w:szCs w:val="20"/>
              </w:rPr>
              <w:t>497.90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2693"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33</w:t>
            </w:r>
            <w:r>
              <w:rPr>
                <w:rFonts w:ascii="Times New Roman" w:cs="Times New Roman" w:hAnsi="Times New Roman"/>
                <w:color w:val="000000"/>
                <w:kern w:val="0"/>
                <w:sz w:val="24"/>
                <w:szCs w:val="24"/>
              </w:rPr>
              <w:t>76.77</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3498.78</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33</w:t>
            </w:r>
            <w:r>
              <w:rPr>
                <w:rFonts w:ascii="Times New Roman" w:cs="Times New Roman" w:hAnsi="Times New Roman"/>
                <w:color w:val="000000"/>
                <w:kern w:val="0"/>
                <w:sz w:val="24"/>
                <w:szCs w:val="24"/>
              </w:rPr>
              <w:t>76.77</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2144.22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（二）外交支出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69.32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（四）教育支出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122.01</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24.47</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0.01</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231.71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122</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color w:val="000000"/>
                <w:kern w:val="0"/>
                <w:sz w:val="24"/>
                <w:szCs w:val="24"/>
              </w:rPr>
              <w:t>307.06</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color w:val="000000"/>
                <w:kern w:val="0"/>
                <w:sz w:val="24"/>
                <w:szCs w:val="24"/>
              </w:rPr>
              <w:t>（八）其他支出</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4"/>
                <w:szCs w:val="24"/>
              </w:rPr>
            </w:pPr>
            <w:r>
              <w:rPr>
                <w:rFonts w:ascii="Times New Roman" w:cs="宋体" w:hAnsi="Times New Roman"/>
                <w:color w:val="000000"/>
                <w:kern w:val="0"/>
                <w:sz w:val="24"/>
                <w:szCs w:val="24"/>
              </w:rPr>
              <w:t>122.00</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    总    计</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498.78</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4"/>
                <w:szCs w:val="24"/>
              </w:rPr>
            </w:pPr>
            <w:r>
              <w:rPr>
                <w:rFonts w:ascii="Times New Roman" w:cs="Times New Roman" w:hAnsi="Times New Roman" w:hint="eastAsia"/>
                <w:color w:val="000000"/>
                <w:kern w:val="0"/>
                <w:sz w:val="24"/>
                <w:szCs w:val="24"/>
              </w:rPr>
              <w:t>3</w:t>
            </w:r>
            <w:r>
              <w:rPr>
                <w:rFonts w:ascii="Times New Roman" w:cs="Times New Roman" w:hAnsi="Times New Roman"/>
                <w:color w:val="000000"/>
                <w:kern w:val="0"/>
                <w:sz w:val="24"/>
                <w:szCs w:val="24"/>
              </w:rPr>
              <w:t>498.78</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549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62"/>
        <w:gridCol w:w="1873"/>
        <w:gridCol w:w="1056"/>
        <w:gridCol w:w="1630"/>
        <w:gridCol w:w="64"/>
        <w:gridCol w:w="1326"/>
        <w:gridCol w:w="1310"/>
        <w:gridCol w:w="1150"/>
        <w:gridCol w:w="1630"/>
        <w:gridCol w:w="1284"/>
        <w:gridCol w:w="964"/>
        <w:gridCol w:w="1216"/>
        <w:gridCol w:w="1029"/>
      </w:tblGrid>
      <w:tr>
        <w:trPr>
          <w:trHeight w:val="285"/>
        </w:trPr>
        <w:tc>
          <w:tcPr>
            <w:tcW w:w="15494" w:type="dxa"/>
            <w:gridSpan w:val="13"/>
            <w:tcBorders>
              <w:top w:val="nil"/>
              <w:left w:val="nil"/>
              <w:bottom w:val="nil"/>
              <w:right w:val="nil"/>
            </w:tcBorders>
            <w:shd w:val="clear" w:color="auto" w:fill="auto"/>
            <w:vAlign w:val="center"/>
          </w:tcPr>
          <w:p>
            <w:pPr>
              <w:widowControl/>
              <w:jc w:val="right"/>
              <w:rPr>
                <w:rFonts w:ascii="Times New Roman" w:cs="宋体" w:hAnsi="Times New Roman"/>
                <w:kern w:val="0"/>
                <w:sz w:val="36"/>
                <w:szCs w:val="36"/>
              </w:rPr>
            </w:pPr>
            <w:r>
              <w:rPr>
                <w:rFonts w:ascii="黑体" w:eastAsia="黑体" w:cs="黑体" w:hint="eastAsia"/>
                <w:kern w:val="0"/>
                <w:sz w:val="20"/>
                <w:szCs w:val="20"/>
              </w:rPr>
              <w:t>部门公开表5</w:t>
            </w:r>
          </w:p>
        </w:tc>
      </w:tr>
      <w:tr>
        <w:trPr>
          <w:trHeight w:val="285"/>
        </w:trPr>
        <w:tc>
          <w:tcPr>
            <w:tcW w:w="15494" w:type="dxa"/>
            <w:gridSpan w:val="13"/>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一般公共预算支出表</w:t>
            </w:r>
          </w:p>
        </w:tc>
      </w:tr>
      <w:tr>
        <w:trPr>
          <w:trHeight w:val="255"/>
        </w:trPr>
        <w:tc>
          <w:tcPr>
            <w:tcW w:w="96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873"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56"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3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90"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1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15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3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284"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964"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16"/>
                <w:szCs w:val="16"/>
              </w:rPr>
            </w:pPr>
          </w:p>
        </w:tc>
        <w:tc>
          <w:tcPr>
            <w:tcW w:w="1216"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29" w:type="dxa"/>
            <w:tcBorders>
              <w:top w:val="nil"/>
              <w:left w:val="nil"/>
              <w:bottom w:val="nil"/>
              <w:right w:val="nil"/>
            </w:tcBorders>
            <w:shd w:val="clear" w:color="auto" w:fill="auto"/>
            <w:noWrap/>
            <w:vAlign w:val="center"/>
          </w:tcPr>
          <w:p>
            <w:pPr>
              <w:widowControl/>
              <w:jc w:val="right"/>
              <w:rPr>
                <w:rFonts w:ascii="Times New Roman" w:cs="宋体" w:hAnsi="Times New Roman"/>
                <w:kern w:val="0"/>
                <w:sz w:val="16"/>
                <w:szCs w:val="16"/>
              </w:rPr>
            </w:pPr>
            <w:r>
              <w:rPr>
                <w:rFonts w:ascii="Times New Roman" w:cs="宋体" w:hAnsi="Times New Roman" w:hint="eastAsia"/>
                <w:kern w:val="0"/>
                <w:sz w:val="16"/>
                <w:szCs w:val="16"/>
              </w:rPr>
              <w:t>单位：万元</w:t>
            </w:r>
          </w:p>
        </w:tc>
      </w:tr>
      <w:tr>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686"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tc>
        <w:tc>
          <w:tcPr>
            <w:tcW w:w="5480" w:type="dxa"/>
            <w:gridSpan w:val="5"/>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年预算数比</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年预算数比</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w:t>
            </w:r>
          </w:p>
        </w:tc>
      </w:tr>
      <w:tr>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850" w:type="dxa"/>
            <w:gridSpan w:val="4"/>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962" w:type="dxa"/>
            <w:vMerge/>
            <w:tcBorders>
              <w:top w:val="nil"/>
              <w:left w:val="single" w:sz="4" w:space="0" w:color="auto"/>
              <w:bottom w:val="single" w:sz="4" w:space="0" w:color="000000"/>
              <w:right w:val="single" w:sz="4" w:space="0" w:color="auto"/>
            </w:tcBorders>
            <w:vAlign w:val="center"/>
          </w:tcPr>
          <w:p/>
        </w:tc>
        <w:tc>
          <w:tcPr>
            <w:tcW w:w="1873" w:type="dxa"/>
            <w:vMerge/>
            <w:tcBorders>
              <w:top w:val="nil"/>
              <w:left w:val="single" w:sz="4" w:space="0" w:color="auto"/>
              <w:bottom w:val="single" w:sz="4" w:space="0" w:color="000000"/>
              <w:right w:val="single" w:sz="4" w:space="0" w:color="auto"/>
            </w:tcBorders>
            <w:vAlign w:val="center"/>
          </w:tcPr>
          <w:p/>
        </w:tc>
        <w:tc>
          <w:tcPr>
            <w:tcW w:w="1056" w:type="dxa"/>
            <w:vMerge/>
            <w:tcBorders>
              <w:top w:val="nil"/>
              <w:left w:val="single" w:sz="4" w:space="0" w:color="auto"/>
              <w:bottom w:val="single" w:sz="4" w:space="0" w:color="000000"/>
              <w:right w:val="single" w:sz="4" w:space="0" w:color="auto"/>
            </w:tcBorders>
            <w:vAlign w:val="center"/>
          </w:tcPr>
          <w:p/>
        </w:tc>
        <w:tc>
          <w:tcPr>
            <w:tcW w:w="1630" w:type="dxa"/>
            <w:vMerge/>
            <w:tcBorders>
              <w:top w:val="nil"/>
              <w:left w:val="single" w:sz="4" w:space="0" w:color="auto"/>
              <w:bottom w:val="single" w:sz="4" w:space="0" w:color="000000"/>
              <w:right w:val="single" w:sz="4" w:space="0" w:color="auto"/>
            </w:tcBorders>
            <w:vAlign w:val="center"/>
          </w:tcPr>
          <w:p/>
        </w:tc>
        <w:tc>
          <w:tcPr>
            <w:tcW w:w="1390"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630" w:type="dxa"/>
            <w:vMerge/>
            <w:tcBorders>
              <w:top w:val="nil"/>
              <w:left w:val="single" w:sz="4" w:space="0" w:color="auto"/>
              <w:bottom w:val="single" w:sz="4" w:space="0" w:color="000000"/>
              <w:right w:val="single" w:sz="4" w:space="0" w:color="auto"/>
            </w:tcBorders>
            <w:vAlign w:val="center"/>
          </w:tcPr>
          <w:p/>
        </w:tc>
        <w:tc>
          <w:tcPr>
            <w:tcW w:w="1284" w:type="dxa"/>
            <w:vMerge/>
            <w:tcBorders>
              <w:top w:val="nil"/>
              <w:left w:val="single" w:sz="4" w:space="0" w:color="auto"/>
              <w:bottom w:val="single" w:sz="4" w:space="0" w:color="000000"/>
              <w:right w:val="single" w:sz="4" w:space="0" w:color="auto"/>
            </w:tcBorders>
            <w:vAlign w:val="center"/>
          </w:tcPr>
          <w:p/>
        </w:tc>
        <w:tc>
          <w:tcPr>
            <w:tcW w:w="964" w:type="dxa"/>
            <w:vMerge/>
            <w:tcBorders>
              <w:top w:val="nil"/>
              <w:left w:val="single" w:sz="4" w:space="0" w:color="auto"/>
              <w:bottom w:val="single" w:sz="4" w:space="0" w:color="000000"/>
              <w:right w:val="single" w:sz="4" w:space="0" w:color="auto"/>
            </w:tcBorders>
            <w:vAlign w:val="center"/>
          </w:tcPr>
          <w:p/>
        </w:tc>
        <w:tc>
          <w:tcPr>
            <w:tcW w:w="1216" w:type="dxa"/>
            <w:vMerge/>
            <w:tcBorders>
              <w:top w:val="nil"/>
              <w:left w:val="single" w:sz="4" w:space="0" w:color="auto"/>
              <w:bottom w:val="single" w:sz="4" w:space="0" w:color="000000"/>
              <w:right w:val="single" w:sz="4" w:space="0" w:color="auto"/>
            </w:tcBorders>
            <w:vAlign w:val="center"/>
          </w:tcPr>
          <w:p/>
        </w:tc>
        <w:tc>
          <w:tcPr>
            <w:tcW w:w="1029" w:type="dxa"/>
            <w:vMerge/>
            <w:tcBorders>
              <w:top w:val="nil"/>
              <w:left w:val="single" w:sz="4" w:space="0" w:color="auto"/>
              <w:bottom w:val="single" w:sz="4" w:space="0" w:color="000000"/>
              <w:right w:val="single" w:sz="4" w:space="0" w:color="auto"/>
            </w:tcBorders>
            <w:vAlign w:val="center"/>
          </w:tc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一般公共服务支出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2240.48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2240.48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2144.21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1828.31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315.90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2214.21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-96.27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-4.30%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-26.27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-1.17%</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20109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海关事务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2240.48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2240.48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2144.21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1828.31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315.90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2214.21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-96.27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-4.30%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-26.27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-1.17%</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1983.58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1983.58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1828.31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1828.31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1828.31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-155.27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-7.83%</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-155.27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-7.83%</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2010903</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机关服务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缉私办案</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30.92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30.92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2.91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2.91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2.91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-28.01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-90.59%</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-28.01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-90.59%</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2010907</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口岸管理</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2010908</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海关关务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173.40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173.40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229.41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229.41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299.41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56.01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32.30%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126.01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72.67%</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关税征管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海关监管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40.00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40.00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70.00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70.00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30.00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75.00%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30.00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75.00%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检验检疫</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12.58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sz w:val="16"/>
                <w:szCs w:val="16"/>
              </w:rPr>
            </w:pPr>
            <w:r>
              <w:rPr>
                <w:rFonts w:ascii="Times New Roman" w:eastAsia="宋体" w:cs="Times New Roman" w:hAnsi="Times New Roman"/>
                <w:sz w:val="16"/>
                <w:szCs w:val="16"/>
              </w:rPr>
              <w:t xml:space="preserve">12.58 </w:t>
            </w:r>
          </w:p>
        </w:tc>
        <w:tc>
          <w:tcPr>
            <w:tcW w:w="1390"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13.58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13.58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13.58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1.00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7.95%</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aps w:val="0"/>
                <w:smallCaps w:val="0"/>
                <w:strike w:val="0"/>
                <w:dstrike w:val="0"/>
                <w:color w:val="000000"/>
                <w:sz w:val="16"/>
                <w:szCs w:val="16"/>
                <w:u w:val="none"/>
                <w:vertAlign w:val="baseline"/>
              </w:rPr>
            </w:pPr>
            <w:r>
              <w:rPr>
                <w:rFonts w:ascii="Times New Roman" w:eastAsia="宋体" w:cs="Times New Roman" w:hAnsi="Times New Roman"/>
                <w:b w:val="0"/>
                <w:i w:val="0"/>
                <w:caps w:val="0"/>
                <w:smallCaps w:val="0"/>
                <w:strike w:val="0"/>
                <w:dstrike w:val="0"/>
                <w:color w:val="000000"/>
                <w:sz w:val="16"/>
                <w:szCs w:val="16"/>
                <w:u w:val="none"/>
                <w:vertAlign w:val="baseline"/>
              </w:rPr>
              <w:t xml:space="preserve">1.00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7.95%</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2010950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事业运行</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其他海关事务支出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20111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纪检监察事务</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2011105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派驻派出机构</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750"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tc>
        <w:tc>
          <w:tcPr>
            <w:tcW w:w="541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年预算数比</w:t>
              <w:b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年预算数比</w:t>
              <w:br/>
              <w:t>202</w:t>
            </w:r>
            <w:r>
              <w:rPr>
                <w:rFonts w:ascii="Times New Roman" w:cs="宋体" w:hAnsi="Times New Roman"/>
                <w:kern w:val="0"/>
                <w:sz w:val="16"/>
                <w:szCs w:val="16"/>
              </w:rPr>
              <w:t>4</w:t>
            </w:r>
            <w:r>
              <w:rPr>
                <w:rFonts w:ascii="Times New Roman" w:cs="宋体" w:hAnsi="Times New Roman" w:hint="eastAsia"/>
                <w:kern w:val="0"/>
                <w:sz w:val="16"/>
                <w:szCs w:val="16"/>
              </w:rPr>
              <w:t>年执行数</w:t>
              <w:br/>
              <w:t>（扣除中央基建投资）</w:t>
            </w:r>
          </w:p>
        </w:tc>
      </w:tr>
      <w:tr>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694"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786"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962" w:type="dxa"/>
            <w:vMerge/>
            <w:tcBorders>
              <w:top w:val="nil"/>
              <w:left w:val="single" w:sz="4" w:space="0" w:color="auto"/>
              <w:bottom w:val="single" w:sz="4" w:space="0" w:color="000000"/>
              <w:right w:val="single" w:sz="4" w:space="0" w:color="auto"/>
            </w:tcBorders>
            <w:vAlign w:val="center"/>
          </w:tcPr>
          <w:p/>
        </w:tc>
        <w:tc>
          <w:tcPr>
            <w:tcW w:w="1873" w:type="dxa"/>
            <w:vMerge/>
            <w:tcBorders>
              <w:top w:val="nil"/>
              <w:left w:val="single" w:sz="4" w:space="0" w:color="auto"/>
              <w:bottom w:val="single" w:sz="4" w:space="0" w:color="000000"/>
              <w:right w:val="single" w:sz="4" w:space="0" w:color="auto"/>
            </w:tcBorders>
            <w:vAlign w:val="center"/>
          </w:tcPr>
          <w:p/>
        </w:tc>
        <w:tc>
          <w:tcPr>
            <w:tcW w:w="1056" w:type="dxa"/>
            <w:vMerge/>
            <w:tcBorders>
              <w:top w:val="nil"/>
              <w:left w:val="single" w:sz="4" w:space="0" w:color="auto"/>
              <w:bottom w:val="single" w:sz="4" w:space="0" w:color="000000"/>
              <w:right w:val="single" w:sz="4" w:space="0" w:color="auto"/>
            </w:tcBorders>
            <w:vAlign w:val="center"/>
          </w:tcPr>
          <w:p/>
        </w:tc>
        <w:tc>
          <w:tcPr>
            <w:tcW w:w="1694" w:type="dxa"/>
            <w:gridSpan w:val="2"/>
            <w:vMerge/>
            <w:tcBorders>
              <w:top w:val="nil"/>
              <w:left w:val="single" w:sz="4" w:space="0" w:color="auto"/>
              <w:bottom w:val="single" w:sz="4" w:space="0" w:color="000000"/>
              <w:right w:val="single" w:sz="4" w:space="0" w:color="auto"/>
            </w:tcBorders>
            <w:vAlign w:val="center"/>
          </w:tcPr>
          <w:p/>
        </w:tc>
        <w:tc>
          <w:tcPr>
            <w:tcW w:w="13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630" w:type="dxa"/>
            <w:vMerge/>
            <w:tcBorders>
              <w:top w:val="nil"/>
              <w:left w:val="single" w:sz="4" w:space="0" w:color="auto"/>
              <w:bottom w:val="single" w:sz="4" w:space="0" w:color="000000"/>
              <w:right w:val="single" w:sz="4" w:space="0" w:color="auto"/>
            </w:tcBorders>
            <w:vAlign w:val="center"/>
          </w:tcPr>
          <w:p/>
        </w:tc>
        <w:tc>
          <w:tcPr>
            <w:tcW w:w="1284" w:type="dxa"/>
            <w:vMerge/>
            <w:tcBorders>
              <w:top w:val="nil"/>
              <w:left w:val="single" w:sz="4" w:space="0" w:color="auto"/>
              <w:bottom w:val="single" w:sz="4" w:space="0" w:color="000000"/>
              <w:right w:val="single" w:sz="4" w:space="0" w:color="auto"/>
            </w:tcBorders>
            <w:vAlign w:val="center"/>
          </w:tcPr>
          <w:p/>
        </w:tc>
        <w:tc>
          <w:tcPr>
            <w:tcW w:w="964" w:type="dxa"/>
            <w:vMerge/>
            <w:tcBorders>
              <w:top w:val="nil"/>
              <w:left w:val="single" w:sz="4" w:space="0" w:color="auto"/>
              <w:bottom w:val="single" w:sz="4" w:space="0" w:color="000000"/>
              <w:right w:val="single" w:sz="4" w:space="0" w:color="auto"/>
            </w:tcBorders>
            <w:vAlign w:val="center"/>
          </w:tcPr>
          <w:p/>
        </w:tc>
        <w:tc>
          <w:tcPr>
            <w:tcW w:w="1216" w:type="dxa"/>
            <w:vMerge/>
            <w:tcBorders>
              <w:top w:val="nil"/>
              <w:left w:val="single" w:sz="4" w:space="0" w:color="auto"/>
              <w:bottom w:val="single" w:sz="4" w:space="0" w:color="000000"/>
              <w:right w:val="single" w:sz="4" w:space="0" w:color="auto"/>
            </w:tcBorders>
            <w:vAlign w:val="center"/>
          </w:tcPr>
          <w:p/>
        </w:tc>
        <w:tc>
          <w:tcPr>
            <w:tcW w:w="1029" w:type="dxa"/>
            <w:vMerge/>
            <w:tcBorders>
              <w:top w:val="nil"/>
              <w:left w:val="single" w:sz="4" w:space="0" w:color="auto"/>
              <w:bottom w:val="single" w:sz="4" w:space="0" w:color="000000"/>
              <w:right w:val="single" w:sz="4" w:space="0" w:color="auto"/>
            </w:tcBorders>
            <w:vAlign w:val="center"/>
          </w:tc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外交支出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20204</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国际组织</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2020401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国际组织会费</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2020402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国际组织捐赠</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20299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其他外交支出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6"/>
                <w:szCs w:val="16"/>
              </w:rPr>
            </w:pPr>
            <w:r>
              <w:rPr>
                <w:rFonts w:hint="eastAsia"/>
                <w:b/>
                <w:bCs/>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2029999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204</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公共安全支出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335.74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335.74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369.32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309.32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60.00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369.32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33.58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33.58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20410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缉私警察</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335.74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335.74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369.32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309.32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60.00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369.32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33.58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33.58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275.74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275.74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309.32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309.32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309.32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33.58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12.18%</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33.58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12.18%</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2041006</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2041007</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缉私业务</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60.00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0.00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0.00%</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0.00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教育支出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20502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普通教育</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b/>
                <w:bCs/>
                <w:color w:val="000000"/>
                <w:sz w:val="16"/>
                <w:szCs w:val="16"/>
              </w:rPr>
            </w:pPr>
            <w:r>
              <w:rPr>
                <w:rFonts w:ascii="Times New Roman" w:eastAsia="宋体" w:cs="Times New Roman" w:hAnsi="Times New Roman"/>
                <w:b/>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2050205</w:t>
            </w:r>
          </w:p>
        </w:tc>
        <w:tc>
          <w:tcPr>
            <w:tcW w:w="1873"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高等教育</w:t>
            </w:r>
          </w:p>
        </w:tc>
        <w:tc>
          <w:tcPr>
            <w:tcW w:w="105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694" w:type="dxa"/>
            <w:gridSpan w:val="2"/>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32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8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208</w:t>
            </w:r>
          </w:p>
        </w:tc>
        <w:tc>
          <w:tcPr>
            <w:tcW w:w="1873"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社会保障和就业支出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301.37 </w:t>
            </w:r>
          </w:p>
        </w:tc>
        <w:tc>
          <w:tcPr>
            <w:tcW w:w="1694" w:type="dxa"/>
            <w:gridSpan w:val="2"/>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301.37 </w:t>
            </w:r>
          </w:p>
        </w:tc>
        <w:tc>
          <w:tcPr>
            <w:tcW w:w="132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28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23.10 </w:t>
            </w:r>
          </w:p>
        </w:tc>
        <w:tc>
          <w:tcPr>
            <w:tcW w:w="964"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7.66%</w:t>
            </w:r>
          </w:p>
        </w:tc>
        <w:tc>
          <w:tcPr>
            <w:tcW w:w="1216"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23.10 </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7.66%</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20805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行政事业单位养老支出</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301.37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301.37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324.47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23.10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7.66%</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23.10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7.66%</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行政单位离退休</w:t>
            </w:r>
          </w:p>
        </w:tc>
        <w:tc>
          <w:tcPr>
            <w:tcW w:w="105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1.60 </w:t>
            </w:r>
          </w:p>
        </w:tc>
        <w:tc>
          <w:tcPr>
            <w:tcW w:w="1694" w:type="dxa"/>
            <w:gridSpan w:val="2"/>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1.60 </w:t>
            </w:r>
          </w:p>
        </w:tc>
        <w:tc>
          <w:tcPr>
            <w:tcW w:w="132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 </w:t>
            </w:r>
          </w:p>
        </w:tc>
        <w:tc>
          <w:tcPr>
            <w:tcW w:w="131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 </w:t>
            </w:r>
          </w:p>
        </w:tc>
        <w:tc>
          <w:tcPr>
            <w:tcW w:w="1150"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1.82 </w:t>
            </w:r>
          </w:p>
        </w:tc>
        <w:tc>
          <w:tcPr>
            <w:tcW w:w="128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0.22 </w:t>
            </w:r>
          </w:p>
        </w:tc>
        <w:tc>
          <w:tcPr>
            <w:tcW w:w="964"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13.75%</w:t>
            </w:r>
          </w:p>
        </w:tc>
        <w:tc>
          <w:tcPr>
            <w:tcW w:w="121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 xml:space="preserve">0.22 </w:t>
            </w:r>
          </w:p>
        </w:tc>
        <w:tc>
          <w:tcPr>
            <w:tcW w:w="102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val="0"/>
                <w:i w:val="0"/>
                <w:color w:val="000000"/>
                <w:sz w:val="16"/>
                <w:szCs w:val="16"/>
              </w:rPr>
            </w:pPr>
            <w:r>
              <w:rPr>
                <w:rFonts w:ascii="Times New Roman" w:eastAsia="宋体" w:cs="Times New Roman" w:hAnsi="Times New Roman"/>
                <w:b w:val="0"/>
                <w:i w:val="0"/>
                <w:color w:val="000000"/>
                <w:sz w:val="16"/>
                <w:szCs w:val="16"/>
              </w:rPr>
              <w:t>13.75%</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事业单位离退休</w:t>
            </w:r>
          </w:p>
        </w:tc>
        <w:tc>
          <w:tcPr>
            <w:tcW w:w="105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94" w:type="dxa"/>
            <w:gridSpan w:val="2"/>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2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31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15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63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84"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964"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21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r>
    </w:tbl>
    <w:tbl>
      <w:tblPr>
        <w:jc w:val="center"/>
        <w:tblW w:w="155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1843"/>
        <w:gridCol w:w="1276"/>
        <w:gridCol w:w="1559"/>
        <w:gridCol w:w="1276"/>
        <w:gridCol w:w="1275"/>
        <w:gridCol w:w="1276"/>
        <w:gridCol w:w="1559"/>
        <w:gridCol w:w="1276"/>
        <w:gridCol w:w="992"/>
        <w:gridCol w:w="1276"/>
        <w:gridCol w:w="992"/>
      </w:tblGrid>
      <w:tr>
        <w:trPr>
          <w:trHeight w:val="255"/>
        </w:trPr>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tc>
        <w:tc>
          <w:tcPr>
            <w:tcW w:w="538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年预算数比</w:t>
              <w:br/>
              <w:t>202</w:t>
            </w:r>
            <w:r>
              <w:rPr>
                <w:rFonts w:ascii="Times New Roman" w:cs="宋体" w:hAnsi="Times New Roman"/>
                <w:kern w:val="0"/>
                <w:sz w:val="16"/>
                <w:szCs w:val="16"/>
              </w:rPr>
              <w:t>4</w:t>
            </w:r>
            <w:r>
              <w:rPr>
                <w:rFonts w:ascii="Times New Roman" w:cs="宋体" w:hAnsi="Times New Roman" w:hint="eastAsia"/>
                <w:kern w:val="0"/>
                <w:sz w:val="16"/>
                <w:szCs w:val="16"/>
              </w:rPr>
              <w:t>年执行数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w:t>
            </w:r>
            <w:r>
              <w:rPr>
                <w:rFonts w:ascii="Times New Roman" w:cs="宋体" w:hAnsi="Times New Roman"/>
                <w:kern w:val="0"/>
                <w:sz w:val="16"/>
                <w:szCs w:val="16"/>
              </w:rPr>
              <w:t>5</w:t>
            </w:r>
            <w:r>
              <w:rPr>
                <w:rFonts w:ascii="Times New Roman" w:cs="宋体" w:hAnsi="Times New Roman" w:hint="eastAsia"/>
                <w:kern w:val="0"/>
                <w:sz w:val="16"/>
                <w:szCs w:val="16"/>
              </w:rPr>
              <w:t>年预算数比</w:t>
              <w:br/>
              <w:t>202</w:t>
            </w:r>
            <w:r>
              <w:rPr>
                <w:rFonts w:ascii="Times New Roman" w:cs="宋体" w:hAnsi="Times New Roman"/>
                <w:kern w:val="0"/>
                <w:sz w:val="16"/>
                <w:szCs w:val="16"/>
              </w:rPr>
              <w:t>4</w:t>
            </w:r>
            <w:r>
              <w:rPr>
                <w:rFonts w:ascii="Times New Roman" w:cs="宋体" w:hAnsi="Times New Roman" w:hint="eastAsia"/>
                <w:kern w:val="0"/>
                <w:sz w:val="16"/>
                <w:szCs w:val="16"/>
              </w:rPr>
              <w:t>年执行数</w:t>
              <w:br/>
              <w:t>（扣除中央基建投资）</w:t>
            </w:r>
          </w:p>
        </w:tc>
      </w:tr>
      <w:tr>
        <w:trPr>
          <w:trHeight w:val="255"/>
        </w:trPr>
        <w:tc>
          <w:tcPr>
            <w:tcW w:w="99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993" w:type="dxa"/>
            <w:vMerge/>
            <w:tcBorders>
              <w:top w:val="nil"/>
              <w:left w:val="single" w:sz="4" w:space="0" w:color="auto"/>
              <w:bottom w:val="single" w:sz="4" w:space="0" w:color="000000"/>
              <w:right w:val="single" w:sz="4" w:space="0" w:color="auto"/>
            </w:tcBorders>
            <w:vAlign w:val="center"/>
          </w:tcPr>
          <w:p/>
        </w:tc>
        <w:tc>
          <w:tcPr>
            <w:tcW w:w="1843"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1559" w:type="dxa"/>
            <w:vMerge/>
            <w:tcBorders>
              <w:top w:val="nil"/>
              <w:left w:val="single" w:sz="4" w:space="0" w:color="auto"/>
              <w:bottom w:val="single" w:sz="4" w:space="0" w:color="000000"/>
              <w:right w:val="single" w:sz="4" w:space="0" w:color="auto"/>
            </w:tcBorders>
            <w:vAlign w:val="center"/>
          </w:tcP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559"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离退休人员管理机构</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2080505</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机关事业单位基本养老保险缴费支出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201.24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201.24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212.44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212.44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212.44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11.20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5.57%</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11.20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5.57%</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2080506</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机关事业单位职业年金缴费支出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98.53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98.53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110.21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110.21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110.21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11.68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11.85%</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11.68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11.85%</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210</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卫生健康支出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21011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行政事业单位医疗</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231.71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2101101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行政单位医疗</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145.57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公务员医疗补助</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84.84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2101199</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其他行政事业单位医疗支出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221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住房保障支出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294.66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294.66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12.40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4.21%</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12.40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4.21%</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22102</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住房改革支出</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294.66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294.66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color w:val="000000"/>
                <w:sz w:val="16"/>
                <w:szCs w:val="16"/>
              </w:rPr>
            </w:pPr>
            <w:r>
              <w:rPr>
                <w:rFonts w:ascii="Times New Roman" w:eastAsia="宋体" w:cs="Times New Roman" w:hAnsi="Times New Roman"/>
                <w:b/>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307.06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12.40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4.21%</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12.40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4.21%</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住房公积金</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158.40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158.40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170.80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170.80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170.80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12.40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7.83%</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12.40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7.83%</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2210202</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提租补贴</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购房补贴</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16"/>
                <w:szCs w:val="16"/>
              </w:rPr>
            </w:pPr>
            <w:r>
              <w:rPr>
                <w:rFonts w:ascii="Times New Roman" w:eastAsia="宋体" w:cs="Times New Roman" w:hAnsi="Times New Roman"/>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136.26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r>
      <w:tr>
        <w:trPr>
          <w:trHeight w:val="255"/>
        </w:trPr>
        <w:tc>
          <w:tcPr>
            <w:tcW w:w="2836"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合      计</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3403.96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3403.96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aps w:val="0"/>
                <w:smallCaps w:val="0"/>
                <w:strike w:val="0"/>
                <w:dstrike w:val="0"/>
                <w:color w:val="000000"/>
                <w:sz w:val="16"/>
                <w:szCs w:val="16"/>
                <w:u w:val="none"/>
                <w:vertAlign w:val="baseline"/>
              </w:rPr>
            </w:pPr>
            <w:r>
              <w:rPr>
                <w:rFonts w:ascii="Times New Roman" w:eastAsia="宋体" w:cs="Times New Roman" w:hAnsi="Times New Roman"/>
                <w:b/>
                <w:i w:val="0"/>
                <w:caps w:val="0"/>
                <w:smallCaps w:val="0"/>
                <w:strike w:val="0"/>
                <w:dstrike w:val="0"/>
                <w:color w:val="000000"/>
                <w:sz w:val="16"/>
                <w:szCs w:val="16"/>
                <w:u w:val="none"/>
                <w:vertAlign w:val="baseline"/>
              </w:rPr>
              <w:t xml:space="preserve">3376.77 </w:t>
            </w:r>
          </w:p>
        </w:tc>
        <w:tc>
          <w:tcPr>
            <w:tcW w:w="1275"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3000.87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375.90 </w:t>
            </w:r>
          </w:p>
        </w:tc>
        <w:tc>
          <w:tcPr>
            <w:tcW w:w="1559"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3376.77 </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-27.19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-0.80%</w:t>
            </w:r>
          </w:p>
        </w:tc>
        <w:tc>
          <w:tcPr>
            <w:tcW w:w="1276"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 xml:space="preserve">-27.19 </w:t>
            </w:r>
          </w:p>
        </w:tc>
        <w:tc>
          <w:tcPr>
            <w:tcW w:w="992" w:type="dxa"/>
            <w:tcBorders>
              <w:top w:val="nil"/>
              <w:left w:val="nil"/>
              <w:bottom w:val="single" w:sz="4" w:space="0" w:color="auto"/>
              <w:right w:val="single" w:sz="4" w:space="0" w:color="auto"/>
            </w:tcBorders>
            <w:shd w:val="clear" w:color="auto" w:fill="auto"/>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-0.80%</w:t>
            </w:r>
          </w:p>
        </w:tc>
      </w:tr>
    </w:tbl>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006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3119"/>
        <w:gridCol w:w="2126"/>
        <w:gridCol w:w="1985"/>
        <w:gridCol w:w="1842"/>
      </w:tblGrid>
      <w:tr>
        <w:trPr>
          <w:trHeight w:val="270"/>
        </w:trPr>
        <w:tc>
          <w:tcPr>
            <w:tcW w:w="993"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bookmarkStart w:id="0" w:name="RANGE!A1:E71"/>
            <w:bookmarkEnd w:id="0"/>
          </w:p>
        </w:tc>
        <w:tc>
          <w:tcPr>
            <w:tcW w:w="311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2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985" w:type="dxa"/>
            <w:tcBorders>
              <w:top w:val="nil"/>
              <w:left w:val="nil"/>
              <w:bottom w:val="nil"/>
              <w:right w:val="nil"/>
            </w:tcBorders>
            <w:shd w:val="clear" w:color="auto" w:fill="auto"/>
            <w:noWrap/>
            <w:vAlign w:val="center"/>
          </w:tcPr>
          <w:p>
            <w:pPr>
              <w:widowControl/>
              <w:jc w:val="center"/>
              <w:rPr>
                <w:rFonts w:ascii="Times New Roman" w:eastAsia="Times New Roman" w:cs="Times New Roman" w:hAnsi="Times New Roman"/>
                <w:kern w:val="0"/>
                <w:sz w:val="20"/>
                <w:szCs w:val="20"/>
              </w:rPr>
            </w:pPr>
          </w:p>
        </w:tc>
        <w:tc>
          <w:tcPr>
            <w:tcW w:w="1842"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部门公开表6</w:t>
            </w:r>
          </w:p>
        </w:tc>
      </w:tr>
      <w:tr>
        <w:trPr>
          <w:trHeight w:val="578"/>
        </w:trPr>
        <w:tc>
          <w:tcPr>
            <w:tcW w:w="10065" w:type="dxa"/>
            <w:gridSpan w:val="5"/>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一般公共预算基本支出表</w:t>
            </w:r>
          </w:p>
        </w:tc>
      </w:tr>
      <w:tr>
        <w:trPr>
          <w:trHeight w:val="360"/>
        </w:trPr>
        <w:tc>
          <w:tcPr>
            <w:tcW w:w="993" w:type="dxa"/>
            <w:tcBorders>
              <w:top w:val="nil"/>
              <w:left w:val="nil"/>
              <w:bottom w:val="nil"/>
              <w:right w:val="nil"/>
            </w:tcBorders>
            <w:shd w:val="clear" w:color="auto" w:fill="auto"/>
            <w:noWrap/>
            <w:vAlign w:val="center"/>
          </w:tcPr>
          <w:p>
            <w:pPr>
              <w:widowControl/>
              <w:jc w:val="center"/>
              <w:rPr>
                <w:rFonts w:ascii="Times New Roman" w:cs="宋体" w:hAnsi="Times New Roman"/>
                <w:kern w:val="0"/>
                <w:szCs w:val="36"/>
              </w:rPr>
            </w:pPr>
          </w:p>
        </w:tc>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126"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985"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842" w:type="dxa"/>
            <w:tcBorders>
              <w:top w:val="nil"/>
              <w:left w:val="nil"/>
              <w:bottom w:val="nil"/>
              <w:right w:val="nil"/>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单位：万元</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公用经费</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r>
              <w:rPr>
                <w:rFonts w:ascii="Times New Roman" w:cs="宋体" w:hAnsi="Times New Roman" w:hint="eastAsia"/>
                <w:b/>
                <w:bCs/>
                <w:kern w:val="0"/>
                <w:sz w:val="18"/>
                <w:szCs w:val="18"/>
              </w:rPr>
              <w:t>福州长乐机场海关</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30</w:t>
            </w:r>
            <w:r>
              <w:rPr>
                <w:rFonts w:ascii="Times New Roman" w:cs="Times New Roman" w:hAnsi="Times New Roman"/>
                <w:b/>
                <w:bCs/>
                <w:kern w:val="0"/>
                <w:sz w:val="18"/>
                <w:szCs w:val="18"/>
              </w:rPr>
              <w:t>00.87</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24</w:t>
            </w:r>
            <w:r>
              <w:rPr>
                <w:rFonts w:ascii="Times New Roman" w:cs="Times New Roman" w:hAnsi="Times New Roman"/>
                <w:b/>
                <w:bCs/>
                <w:kern w:val="0"/>
                <w:sz w:val="18"/>
                <w:szCs w:val="18"/>
              </w:rPr>
              <w:t>36.06</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5</w:t>
            </w:r>
            <w:r>
              <w:rPr>
                <w:rFonts w:ascii="Times New Roman" w:cs="Times New Roman" w:hAnsi="Times New Roman"/>
                <w:b/>
                <w:bCs/>
                <w:kern w:val="0"/>
                <w:sz w:val="18"/>
                <w:szCs w:val="18"/>
              </w:rPr>
              <w:t>64.81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2,4</w:t>
            </w:r>
            <w:r>
              <w:rPr>
                <w:rFonts w:ascii="Times New Roman" w:cs="Times New Roman" w:hAnsi="Times New Roman"/>
                <w:b/>
                <w:bCs/>
                <w:kern w:val="0"/>
                <w:sz w:val="18"/>
                <w:szCs w:val="18"/>
              </w:rPr>
              <w:t>36.06</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2,4</w:t>
            </w:r>
            <w:r>
              <w:rPr>
                <w:rFonts w:ascii="Times New Roman" w:cs="Times New Roman" w:hAnsi="Times New Roman"/>
                <w:b/>
                <w:bCs/>
                <w:kern w:val="0"/>
                <w:sz w:val="18"/>
                <w:szCs w:val="18"/>
              </w:rPr>
              <w:t>36.06</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557.11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557.11</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980.46</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980.46</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152.23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152.23</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伙食补助费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绩效工资</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212.44</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2</w:t>
            </w:r>
            <w:r>
              <w:rPr>
                <w:rFonts w:ascii="Times New Roman" w:cs="Times New Roman" w:hAnsi="Times New Roman"/>
                <w:kern w:val="0"/>
                <w:sz w:val="18"/>
                <w:szCs w:val="18"/>
              </w:rPr>
              <w:t>12.44</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110.21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110.21</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145.57</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145.57</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84.84</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84.84</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1.30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1.30</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70.80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70.80</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医疗费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21.10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21.10</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457.11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457.11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23.42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23.42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咨询费</w:t>
            </w:r>
          </w:p>
        </w:tc>
        <w:tc>
          <w:tcPr>
            <w:tcW w:w="2126" w:type="dxa"/>
            <w:tcBorders>
              <w:top w:val="nil"/>
              <w:left w:val="nil"/>
              <w:bottom w:val="single" w:sz="4" w:space="0" w:color="auto"/>
              <w:right w:val="single" w:sz="4" w:space="0" w:color="auto"/>
            </w:tcBorders>
            <w:shd w:val="clear" w:color="auto" w:fill="auto"/>
            <w:noWrap/>
            <w:vAlign w:val="center"/>
          </w:tcPr>
          <w:p>
            <w:pPr>
              <w:widowControl/>
              <w:ind w:right="180"/>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ind w:right="180"/>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手续费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0.20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0.20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3.60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3.60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20.00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20.00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3</w:t>
            </w:r>
            <w:r>
              <w:rPr>
                <w:rFonts w:ascii="Times New Roman" w:cs="Times New Roman" w:hAnsi="Times New Roman"/>
                <w:kern w:val="0"/>
                <w:sz w:val="18"/>
                <w:szCs w:val="18"/>
              </w:rPr>
              <w:t>5.43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3</w:t>
            </w:r>
            <w:r>
              <w:rPr>
                <w:rFonts w:ascii="Times New Roman" w:cs="Times New Roman" w:hAnsi="Times New Roman"/>
                <w:kern w:val="0"/>
                <w:sz w:val="18"/>
                <w:szCs w:val="18"/>
              </w:rPr>
              <w:t>5.43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取暖费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13.60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13.60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3.33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3.33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因公出国（境）费用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26.63</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26.63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会议费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4.00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4.00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1.11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1.11</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公用经费</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11.50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11.50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被装购置费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专用燃料费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71.00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71.00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21.12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21.12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47.51</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47.51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福利费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7.45</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7.45</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18.29</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18.29</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34.00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1</w:t>
            </w:r>
            <w:r>
              <w:rPr>
                <w:rFonts w:ascii="Times New Roman" w:cs="Times New Roman" w:hAnsi="Times New Roman"/>
                <w:kern w:val="0"/>
                <w:sz w:val="18"/>
                <w:szCs w:val="18"/>
              </w:rPr>
              <w:t>34.00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30240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税金及附加费用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0.92</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0.92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离休费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退休费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退职（役）费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抚恤金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生活补助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医疗费补助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助学金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奖励金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代缴社会保险费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310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107.70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b/>
                <w:bCs/>
                <w:kern w:val="0"/>
                <w:sz w:val="18"/>
                <w:szCs w:val="18"/>
              </w:rPr>
              <w:t>107.70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房屋建筑物购建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77.70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77.70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专用设备购置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大型修缮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信息网络及软件购置更新</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公务用车购置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31019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其他交通工具购置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31021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文物和陈列品购置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31022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无形资产购置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30.00</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kern w:val="0"/>
                <w:sz w:val="18"/>
                <w:szCs w:val="18"/>
              </w:rPr>
              <w:t>30.00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其他资本性支出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18"/>
                <w:szCs w:val="18"/>
              </w:rPr>
            </w:pPr>
          </w:p>
        </w:tc>
      </w:tr>
      <w:tr>
        <w:trPr>
          <w:trHeight w:val="360"/>
        </w:trPr>
        <w:tc>
          <w:tcPr>
            <w:tcW w:w="4112"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r>
              <w:rPr>
                <w:rFonts w:ascii="Times New Roman" w:cs="宋体" w:hAnsi="Times New Roman" w:hint="eastAsia"/>
                <w:b/>
                <w:bCs/>
                <w:kern w:val="0"/>
                <w:sz w:val="18"/>
                <w:szCs w:val="18"/>
              </w:rPr>
              <w:t>合  计</w:t>
            </w:r>
          </w:p>
        </w:tc>
        <w:tc>
          <w:tcPr>
            <w:tcW w:w="21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30</w:t>
            </w:r>
            <w:r>
              <w:rPr>
                <w:rFonts w:ascii="Times New Roman" w:cs="Times New Roman" w:hAnsi="Times New Roman"/>
                <w:b/>
                <w:bCs/>
                <w:kern w:val="0"/>
                <w:sz w:val="18"/>
                <w:szCs w:val="18"/>
              </w:rPr>
              <w:t>00.87</w:t>
            </w:r>
          </w:p>
        </w:tc>
        <w:tc>
          <w:tcPr>
            <w:tcW w:w="198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24</w:t>
            </w:r>
            <w:r>
              <w:rPr>
                <w:rFonts w:ascii="Times New Roman" w:cs="Times New Roman" w:hAnsi="Times New Roman"/>
                <w:b/>
                <w:bCs/>
                <w:kern w:val="0"/>
                <w:sz w:val="18"/>
                <w:szCs w:val="18"/>
              </w:rPr>
              <w:t>36.06</w:t>
            </w:r>
          </w:p>
        </w:tc>
        <w:tc>
          <w:tcPr>
            <w:tcW w:w="184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rPr>
              <w:t>5</w:t>
            </w:r>
            <w:r>
              <w:rPr>
                <w:rFonts w:ascii="Times New Roman" w:cs="Times New Roman" w:hAnsi="Times New Roman"/>
                <w:b/>
                <w:bCs/>
                <w:kern w:val="0"/>
                <w:sz w:val="18"/>
                <w:szCs w:val="18"/>
              </w:rPr>
              <w:t>64.81</w:t>
            </w:r>
          </w:p>
        </w:tc>
      </w:tr>
    </w:tbl>
    <w:p>
      <w:pPr>
        <w:jc w:val="cente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w:t>
            </w:r>
            <w:r>
              <w:rPr>
                <w:rFonts w:ascii="Times New Roman" w:cs="宋体" w:hAnsi="Times New Roman"/>
                <w:kern w:val="0"/>
                <w:sz w:val="20"/>
                <w:szCs w:val="20"/>
              </w:rPr>
              <w:t>25</w:t>
            </w:r>
            <w:r>
              <w:rPr>
                <w:rFonts w:ascii="Times New Roman"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pStyle w:val="143"/>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福州长乐机场海关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w:t>
            </w:r>
            <w:r>
              <w:rPr>
                <w:rFonts w:ascii="Times New Roman" w:cs="宋体" w:hAnsi="Times New Roman"/>
                <w:color w:val="000000"/>
                <w:kern w:val="0"/>
                <w:sz w:val="20"/>
                <w:szCs w:val="20"/>
              </w:rPr>
              <w:t>5</w:t>
            </w:r>
            <w:r>
              <w:rPr>
                <w:rFonts w:ascii="Times New Roman"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pStyle w:val="38"/>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福州长乐机场海关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4</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5</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73.11</w:t>
            </w:r>
          </w:p>
        </w:tc>
        <w:tc>
          <w:tcPr>
            <w:tcW w:w="110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60</w:t>
            </w:r>
          </w:p>
        </w:tc>
        <w:tc>
          <w:tcPr>
            <w:tcW w:w="1407"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1.11</w:t>
            </w:r>
          </w:p>
        </w:tc>
        <w:tc>
          <w:tcPr>
            <w:tcW w:w="96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88.61</w:t>
            </w:r>
          </w:p>
        </w:tc>
        <w:tc>
          <w:tcPr>
            <w:tcW w:w="127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87.50</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27.50</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60.0</w:t>
            </w:r>
            <w:r>
              <w:rPr>
                <w:rFonts w:ascii="Times New Roman" w:cs="Times New Roman" w:hAnsi="Times New Roman"/>
                <w:kern w:val="0"/>
                <w:sz w:val="20"/>
                <w:szCs w:val="20"/>
              </w:rPr>
              <w:t>0</w:t>
            </w:r>
          </w:p>
        </w:tc>
        <w:tc>
          <w:tcPr>
            <w:tcW w:w="144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1.11</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p>
    <w:p>
      <w:pPr>
        <w:jc w:val="center"/>
        <w:rPr>
          <w:rFonts w:ascii="Times New Roman" w:hAnsi="Times New Roman"/>
          <w:b/>
          <w:sz w:val="84"/>
          <w:szCs w:val="84"/>
        </w:rPr>
      </w:pPr>
      <w:r>
        <w:rPr>
          <w:rFonts w:ascii="Times New Roman" w:hAnsi="Times New Roman" w:hint="eastAsia"/>
          <w:b/>
          <w:sz w:val="80"/>
          <w:szCs w:val="80"/>
        </w:rPr>
        <w:t>福州长乐机场海关</w:t>
      </w:r>
      <w:r>
        <w:rPr>
          <w:rFonts w:ascii="Times New Roman" w:hAnsi="Times New Roman"/>
          <w:b/>
          <w:sz w:val="80"/>
          <w:szCs w:val="80"/>
        </w:rPr>
        <w:t>2025</w:t>
      </w:r>
      <w:r>
        <w:rPr>
          <w:rFonts w:ascii="Times New Roman" w:hAnsi="Times New Roman" w:hint="eastAsia"/>
          <w:b/>
          <w:sz w:val="80"/>
          <w:szCs w:val="80"/>
        </w:rPr>
        <w:t>年部门预算情况说明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福州长乐机场</w:t>
      </w:r>
      <w:r>
        <w:rPr>
          <w:rFonts w:eastAsia="方正黑体_GBK"/>
          <w:sz w:val="32"/>
          <w:szCs w:val="32"/>
        </w:rPr>
        <w:t>海关2025年收支预算情况的总体说明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福州长乐机场</w:t>
      </w:r>
      <w:r>
        <w:rPr>
          <w:rFonts w:eastAsia="方正仿宋_GBK"/>
          <w:sz w:val="32"/>
          <w:szCs w:val="32"/>
        </w:rPr>
        <w:t>海关所有收入和支出均纳入部门预算管理。收入包括：一般公共预算拨款收入其他收入、上年结转；支出包括：一般公共服务支出、公共安全支出、社会保障和就业支出、卫生健康支出、住房保障支出。</w:t>
      </w:r>
      <w:r>
        <w:rPr>
          <w:rFonts w:eastAsia="方正仿宋_GBK" w:hint="eastAsia"/>
          <w:sz w:val="32"/>
          <w:szCs w:val="32"/>
        </w:rPr>
        <w:t>福州长乐机场</w:t>
      </w:r>
      <w:r>
        <w:rPr>
          <w:rFonts w:eastAsia="方正仿宋_GBK"/>
          <w:sz w:val="32"/>
          <w:szCs w:val="32"/>
        </w:rPr>
        <w:t>海关2025年收支总预算6495.37万元。</w:t>
      </w:r>
    </w:p>
    <w:p>
      <w:pPr>
        <w:pStyle w:val="18"/>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福州长乐机场</w:t>
      </w:r>
      <w:r>
        <w:rPr>
          <w:rFonts w:eastAsia="方正黑体_GBK"/>
          <w:sz w:val="32"/>
          <w:szCs w:val="32"/>
        </w:rPr>
        <w:t>海关2025年收入预算情况说明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福州长乐机场</w:t>
      </w:r>
      <w:r>
        <w:rPr>
          <w:rFonts w:eastAsia="方正仿宋_GBK"/>
          <w:sz w:val="32"/>
          <w:szCs w:val="32"/>
        </w:rPr>
        <w:t>海关2025年收入预算6495.37万元，其中：上年结转1103.6万元，占</w:t>
      </w:r>
      <w:r>
        <w:rPr>
          <w:rFonts w:eastAsia="方正仿宋_GBK" w:hint="eastAsia"/>
          <w:sz w:val="32"/>
          <w:szCs w:val="32"/>
        </w:rPr>
        <w:t>1</w:t>
      </w:r>
      <w:r>
        <w:rPr>
          <w:rFonts w:eastAsia="方正仿宋_GBK"/>
          <w:sz w:val="32"/>
          <w:szCs w:val="32"/>
        </w:rPr>
        <w:t>6.99%；一般公共预算财政拨款  3376.77万元，占</w:t>
      </w:r>
      <w:r>
        <w:rPr>
          <w:rFonts w:eastAsia="方正仿宋_GBK" w:hint="eastAsia"/>
          <w:sz w:val="32"/>
          <w:szCs w:val="32"/>
        </w:rPr>
        <w:t>5</w:t>
      </w:r>
      <w:r>
        <w:rPr>
          <w:rFonts w:eastAsia="方正仿宋_GBK"/>
          <w:sz w:val="32"/>
          <w:szCs w:val="32"/>
        </w:rPr>
        <w:t>1.99%；其他收入2015万元，占</w:t>
      </w:r>
      <w:r>
        <w:rPr>
          <w:rFonts w:eastAsia="方正仿宋_GBK" w:hint="eastAsia"/>
          <w:sz w:val="32"/>
          <w:szCs w:val="32"/>
        </w:rPr>
        <w:t>3</w:t>
      </w:r>
      <w:r>
        <w:rPr>
          <w:rFonts w:eastAsia="方正仿宋_GBK"/>
          <w:sz w:val="32"/>
          <w:szCs w:val="32"/>
        </w:rPr>
        <w:t>1.02%。</w:t>
      </w:r>
    </w:p>
    <w:p>
      <w:pPr>
        <w:pStyle w:val="18"/>
        <w:spacing w:line="560" w:lineRule="exact"/>
        <w:rPr>
          <w:rFonts w:eastAsia="方正仿宋_GBK"/>
          <w:sz w:val="32"/>
          <w:szCs w:val="32"/>
        </w:rPr>
      </w:pPr>
      <w:r>
        <w:rPr>
          <w:rFonts w:eastAsia="方正仿宋_GBK"/>
          <w:sz w:val="32"/>
          <w:szCs w:val="32"/>
        </w:rPr>
        <w:drawing>
          <wp:anchor distT="0" distB="0" distL="85723" distR="85723" simplePos="0" relativeHeight="16" behindDoc="0" locked="0" layoutInCell="1" hidden="0" allowOverlap="1">
            <wp:simplePos x="0" y="0"/>
            <wp:positionH relativeFrom="column">
              <wp:posOffset>466717</wp:posOffset>
            </wp:positionH>
            <wp:positionV relativeFrom="paragraph">
              <wp:posOffset>250876</wp:posOffset>
            </wp:positionV>
            <wp:extent cx="4571930" cy="2743157"/>
            <wp:effectExtent l="0" t="0" r="0" b="0"/>
            <wp:wrapNone/>
            <wp:docPr id="7" name="图片"/>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4571930" cy="2743157"/>
                    </a:xfrm>
                    <a:prstGeom prst="rect"/>
                    <a:noFill/>
                    <a:ln w="9525" cmpd="sng" cap="flat">
                      <a:noFill/>
                      <a:prstDash val="solid"/>
                      <a:miter/>
                    </a:ln>
                  </pic:spPr>
                </pic:pic>
              </a:graphicData>
            </a:graphic>
          </wp:anchor>
        </w:drawing>
      </w: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rPr>
          <w:rFonts w:eastAsia="方正仿宋_GBK"/>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三、关于福州长乐机场海关</w:t>
      </w:r>
      <w:r>
        <w:rPr>
          <w:rFonts w:eastAsia="方正黑体_GBK"/>
          <w:sz w:val="32"/>
          <w:szCs w:val="32"/>
        </w:rPr>
        <w:t>2025</w:t>
      </w:r>
      <w:r>
        <w:rPr>
          <w:rFonts w:eastAsia="方正黑体_GBK" w:hint="eastAsia"/>
          <w:sz w:val="32"/>
          <w:szCs w:val="32"/>
        </w:rPr>
        <w:t>年支出预算情况说</w:t>
      </w:r>
      <w:r>
        <w:rPr>
          <w:rFonts w:eastAsia="方正黑体_GBK"/>
          <w:sz w:val="32"/>
          <w:szCs w:val="32"/>
        </w:rPr>
        <w:t>明</w:t>
      </w:r>
    </w:p>
    <w:p>
      <w:pPr>
        <w:pStyle w:val="18"/>
        <w:spacing w:line="560" w:lineRule="exact"/>
        <w:ind w:firstLineChars="200" w:firstLine="640"/>
        <w:rPr>
          <w:rFonts w:eastAsia="方正黑体_GBK"/>
          <w:sz w:val="32"/>
          <w:szCs w:val="32"/>
        </w:rPr>
      </w:pPr>
      <w:r>
        <w:rPr>
          <w:rFonts w:eastAsia="方正仿宋_GBK" w:hint="eastAsia"/>
          <w:sz w:val="32"/>
          <w:szCs w:val="32"/>
        </w:rPr>
        <w:t>福州长乐机场海关</w:t>
      </w:r>
      <w:r>
        <w:rPr>
          <w:rFonts w:eastAsia="方正仿宋_GBK"/>
          <w:sz w:val="32"/>
          <w:szCs w:val="32"/>
        </w:rPr>
        <w:t>2025</w:t>
      </w:r>
      <w:r>
        <w:rPr>
          <w:rFonts w:eastAsia="方正仿宋_GBK" w:hint="eastAsia"/>
          <w:sz w:val="32"/>
          <w:szCs w:val="32"/>
        </w:rPr>
        <w:t>年支出预算</w:t>
      </w:r>
      <w:r>
        <w:rPr>
          <w:rFonts w:eastAsia="方正仿宋_GBK"/>
          <w:sz w:val="32"/>
          <w:szCs w:val="32"/>
        </w:rPr>
        <w:t>6495.37</w:t>
      </w:r>
      <w:r>
        <w:rPr>
          <w:rFonts w:eastAsia="方正仿宋_GBK" w:hint="eastAsia"/>
          <w:sz w:val="32"/>
          <w:szCs w:val="32"/>
        </w:rPr>
        <w:t>万元，其中：基本支出</w:t>
      </w:r>
      <w:r>
        <w:rPr>
          <w:rFonts w:eastAsia="方正仿宋_GBK"/>
          <w:sz w:val="32"/>
          <w:szCs w:val="32"/>
        </w:rPr>
        <w:t>5997.47</w:t>
      </w:r>
      <w:r>
        <w:rPr>
          <w:rFonts w:eastAsia="方正仿宋_GBK" w:hint="eastAsia"/>
          <w:sz w:val="32"/>
          <w:szCs w:val="32"/>
        </w:rPr>
        <w:t>万元，占9</w:t>
      </w:r>
      <w:r>
        <w:rPr>
          <w:rFonts w:eastAsia="方正仿宋_GBK"/>
          <w:sz w:val="32"/>
          <w:szCs w:val="32"/>
        </w:rPr>
        <w:t>2.33%</w:t>
      </w:r>
      <w:r>
        <w:rPr>
          <w:rFonts w:eastAsia="方正仿宋_GBK" w:hint="eastAsia"/>
          <w:sz w:val="32"/>
          <w:szCs w:val="32"/>
        </w:rPr>
        <w:t>；项目支出</w:t>
      </w:r>
      <w:r>
        <w:rPr>
          <w:rFonts w:eastAsia="方正仿宋_GBK"/>
          <w:sz w:val="32"/>
          <w:szCs w:val="32"/>
        </w:rPr>
        <w:t>497.9</w:t>
      </w:r>
      <w:r>
        <w:rPr>
          <w:rFonts w:eastAsia="方正仿宋_GBK" w:hint="eastAsia"/>
          <w:sz w:val="32"/>
          <w:szCs w:val="32"/>
        </w:rPr>
        <w:t>万元，占</w:t>
      </w:r>
      <w:r>
        <w:rPr>
          <w:rFonts w:eastAsia="方正仿宋_GBK"/>
          <w:sz w:val="32"/>
          <w:szCs w:val="32"/>
        </w:rPr>
        <w:t>7.67%</w:t>
      </w:r>
      <w:r>
        <w:rPr>
          <w:rFonts w:eastAsia="方正仿宋_GBK" w:hint="eastAsia"/>
          <w:sz w:val="32"/>
          <w:szCs w:val="32"/>
        </w:rPr>
        <w:t>。</w:t>
      </w: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r>
        <w:rPr>
          <w:rFonts w:eastAsia="方正仿宋_GBK"/>
          <w:sz w:val="32"/>
          <w:szCs w:val="32"/>
        </w:rPr>
        <w:drawing>
          <wp:anchor distT="0" distB="0" distL="85723" distR="85723" simplePos="0" relativeHeight="17" behindDoc="0" locked="0" layoutInCell="1" hidden="0" allowOverlap="1">
            <wp:simplePos x="0" y="0"/>
            <wp:positionH relativeFrom="column">
              <wp:posOffset>396875</wp:posOffset>
            </wp:positionH>
            <wp:positionV relativeFrom="paragraph">
              <wp:posOffset>44492</wp:posOffset>
            </wp:positionV>
            <wp:extent cx="4571929" cy="2743157"/>
            <wp:effectExtent l="0" t="0" r="0" b="0"/>
            <wp:wrapNone/>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4571929" cy="2743157"/>
                    </a:xfrm>
                    <a:prstGeom prst="rect"/>
                    <a:noFill/>
                    <a:ln w="9525" cmpd="sng" cap="flat">
                      <a:noFill/>
                      <a:prstDash val="solid"/>
                      <a:miter/>
                    </a:ln>
                  </pic:spPr>
                </pic:pic>
              </a:graphicData>
            </a:graphic>
          </wp:anchor>
        </w:drawing>
      </w: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四、关于福州长乐机场海关202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leftChars="50" w:left="105" w:firstLineChars="150" w:firstLine="480"/>
        <w:rPr>
          <w:rFonts w:ascii="Times New Roman" w:eastAsia="方正仿宋_GBK" w:hAnsi="Times New Roman"/>
          <w:sz w:val="32"/>
          <w:szCs w:val="32"/>
        </w:rPr>
      </w:pPr>
      <w:r>
        <w:rPr>
          <w:rFonts w:ascii="Times New Roman" w:eastAsia="方正仿宋_GBK" w:hAnsi="Times New Roman" w:hint="eastAsia"/>
          <w:sz w:val="32"/>
          <w:szCs w:val="32"/>
        </w:rPr>
        <w:t>福州长乐机场海关20</w:t>
      </w:r>
      <w:r>
        <w:rPr>
          <w:rFonts w:ascii="Times New Roman" w:eastAsia="方正仿宋_GBK" w:hAnsi="Times New Roman"/>
          <w:sz w:val="32"/>
          <w:szCs w:val="32"/>
        </w:rPr>
        <w:t>25</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3498.78</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sz w:val="32"/>
          <w:szCs w:val="32"/>
        </w:rPr>
        <w:t>3376.77</w:t>
      </w:r>
      <w:r>
        <w:rPr>
          <w:rFonts w:ascii="Times New Roman" w:eastAsia="方正仿宋_GBK" w:hAnsi="Times New Roman" w:hint="eastAsia"/>
          <w:sz w:val="32"/>
          <w:szCs w:val="32"/>
        </w:rPr>
        <w:t>万元、上年结转</w:t>
      </w:r>
      <w:r>
        <w:rPr>
          <w:rFonts w:ascii="Times New Roman" w:eastAsia="方正仿宋_GBK" w:hAnsi="Times New Roman"/>
          <w:sz w:val="32"/>
          <w:szCs w:val="32"/>
        </w:rPr>
        <w:t>0.01</w:t>
      </w:r>
      <w:r>
        <w:rPr>
          <w:rFonts w:ascii="Times New Roman" w:eastAsia="方正仿宋_GBK" w:hAnsi="Times New Roman" w:hint="eastAsia"/>
          <w:sz w:val="32"/>
          <w:szCs w:val="32"/>
        </w:rPr>
        <w:t>万元</w:t>
      </w:r>
      <w:r>
        <w:rPr>
          <w:rFonts w:ascii="Times New Roman" w:eastAsia="方正仿宋_GBK" w:hAnsi="Times New Roman"/>
          <w:sz w:val="32"/>
          <w:szCs w:val="32"/>
        </w:rPr>
        <w:t>、政府性基金预算拨款上年结转122万元</w:t>
      </w:r>
      <w:r>
        <w:rPr>
          <w:rFonts w:ascii="Times New Roman" w:eastAsia="方正仿宋_GBK" w:hAnsi="Times New Roman" w:hint="eastAsia"/>
          <w:sz w:val="32"/>
          <w:szCs w:val="32"/>
        </w:rPr>
        <w:t>。支出包括：一般公共服务支出</w:t>
      </w:r>
      <w:r>
        <w:rPr>
          <w:rFonts w:ascii="Times New Roman" w:eastAsia="方正仿宋_GBK" w:hAnsi="Times New Roman"/>
          <w:sz w:val="32"/>
          <w:szCs w:val="32"/>
        </w:rPr>
        <w:t>2144.22</w:t>
      </w:r>
      <w:r>
        <w:rPr>
          <w:rFonts w:ascii="Times New Roman" w:eastAsia="方正仿宋_GBK" w:hAnsi="Times New Roman" w:hint="eastAsia"/>
          <w:sz w:val="32"/>
          <w:szCs w:val="32"/>
        </w:rPr>
        <w:t>万元、公共安全支出</w:t>
      </w:r>
      <w:r>
        <w:rPr>
          <w:rFonts w:ascii="Times New Roman" w:eastAsia="方正仿宋_GBK" w:hAnsi="Times New Roman"/>
          <w:sz w:val="32"/>
          <w:szCs w:val="32"/>
        </w:rPr>
        <w:t>369.32</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324.47</w:t>
      </w:r>
      <w:r>
        <w:rPr>
          <w:rFonts w:ascii="Times New Roman" w:eastAsia="方正仿宋_GBK" w:hAnsi="Times New Roman" w:hint="eastAsia"/>
          <w:sz w:val="32"/>
          <w:szCs w:val="32"/>
        </w:rPr>
        <w:t>万元、卫生健康支出</w:t>
      </w:r>
      <w:r>
        <w:rPr>
          <w:rFonts w:ascii="Times New Roman" w:eastAsia="方正仿宋_GBK" w:hAnsi="Times New Roman"/>
          <w:sz w:val="32"/>
          <w:szCs w:val="32"/>
        </w:rPr>
        <w:t>231.71</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307.06</w:t>
      </w:r>
      <w:r>
        <w:rPr>
          <w:rFonts w:ascii="Times New Roman" w:eastAsia="方正仿宋_GBK" w:hAnsi="Times New Roman" w:hint="eastAsia"/>
          <w:sz w:val="32"/>
          <w:szCs w:val="32"/>
        </w:rPr>
        <w:t>万元</w:t>
      </w:r>
      <w:r>
        <w:rPr>
          <w:rFonts w:ascii="Times New Roman" w:eastAsia="方正仿宋_GBK" w:hAnsi="Times New Roman"/>
          <w:sz w:val="32"/>
          <w:szCs w:val="32"/>
        </w:rPr>
        <w:t>、其他支出122万元。</w:t>
      </w: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r>
        <w:rPr>
          <w:rFonts w:ascii="Times New Roman" w:eastAsia="方正仿宋_GBK" w:hAnsi="Times New Roman"/>
          <w:sz w:val="32"/>
          <w:szCs w:val="32"/>
        </w:rPr>
        <w:drawing>
          <wp:anchor distT="0" distB="0" distL="85723" distR="85723" simplePos="0" relativeHeight="18" behindDoc="0" locked="0" layoutInCell="1" hidden="0" allowOverlap="1">
            <wp:simplePos x="0" y="0"/>
            <wp:positionH relativeFrom="column">
              <wp:posOffset>533391</wp:posOffset>
            </wp:positionH>
            <wp:positionV relativeFrom="paragraph">
              <wp:posOffset>301631</wp:posOffset>
            </wp:positionV>
            <wp:extent cx="4571930" cy="2743157"/>
            <wp:effectExtent l="0" t="0" r="0" b="0"/>
            <wp:wrapNone/>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571930" cy="2743157"/>
                    </a:xfrm>
                    <a:prstGeom prst="rect"/>
                    <a:noFill/>
                    <a:ln w="9525" cmpd="sng" cap="flat">
                      <a:noFill/>
                      <a:prstDash val="solid"/>
                      <a:miter/>
                    </a:ln>
                  </pic:spPr>
                </pic:pic>
              </a:graphicData>
            </a:graphic>
          </wp:anchor>
        </w:drawing>
      </w: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五、关于福州长乐机场海关202</w:t>
      </w:r>
      <w:r>
        <w:rPr>
          <w:rFonts w:ascii="Times New Roman" w:eastAsia="方正黑体_GBK" w:hAnsi="Times New Roman"/>
          <w:sz w:val="32"/>
          <w:szCs w:val="32"/>
        </w:rPr>
        <w:t>5</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5</w:t>
      </w:r>
      <w:r>
        <w:rPr>
          <w:rFonts w:ascii="Times New Roman" w:eastAsia="方正仿宋_GBK" w:hAnsi="Times New Roman" w:hint="eastAsia"/>
          <w:sz w:val="32"/>
          <w:szCs w:val="32"/>
        </w:rPr>
        <w:t>年一般公共预算当年财政拨款预算33</w:t>
      </w:r>
      <w:r>
        <w:rPr>
          <w:rFonts w:ascii="Times New Roman" w:eastAsia="方正仿宋_GBK" w:hAnsi="Times New Roman"/>
          <w:sz w:val="32"/>
          <w:szCs w:val="32"/>
        </w:rPr>
        <w:t>76.77</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年执行数减少2</w:t>
      </w:r>
      <w:r>
        <w:rPr>
          <w:rFonts w:ascii="Times New Roman" w:eastAsia="方正仿宋_GBK" w:hAnsi="Times New Roman"/>
          <w:sz w:val="32"/>
          <w:szCs w:val="32"/>
        </w:rPr>
        <w:t>7.19</w:t>
      </w:r>
      <w:r>
        <w:rPr>
          <w:rFonts w:ascii="Times New Roman" w:eastAsia="方正仿宋_GBK" w:hAnsi="Times New Roman" w:hint="eastAsia"/>
          <w:sz w:val="32"/>
          <w:szCs w:val="32"/>
        </w:rPr>
        <w:t>万元，下降0.</w:t>
      </w:r>
      <w:r>
        <w:rPr>
          <w:rFonts w:ascii="Times New Roman" w:eastAsia="方正仿宋_GBK" w:hAnsi="Times New Roman"/>
          <w:sz w:val="32"/>
          <w:szCs w:val="32"/>
        </w:rPr>
        <w:t>8</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年，按照党中央、国务院关于过紧日子的有关要求，全面加强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重点压减非急需非刚性支出，同时合理保障了海关关务、检验检疫、缉私警察等必要支出需求，体现在有关支出科目中。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sz w:val="32"/>
          <w:szCs w:val="32"/>
        </w:rPr>
        <w:t>2144.21</w:t>
      </w:r>
      <w:r>
        <w:rPr>
          <w:rFonts w:ascii="Times New Roman" w:eastAsia="方正仿宋_GBK" w:hAnsi="Times New Roman" w:hint="eastAsia"/>
          <w:sz w:val="32"/>
          <w:szCs w:val="32"/>
        </w:rPr>
        <w:t>万元，占6</w:t>
      </w:r>
      <w:r>
        <w:rPr>
          <w:rFonts w:ascii="Times New Roman" w:eastAsia="方正仿宋_GBK" w:hAnsi="Times New Roman"/>
          <w:sz w:val="32"/>
          <w:szCs w:val="32"/>
        </w:rPr>
        <w:t>3.49</w:t>
      </w:r>
      <w:r>
        <w:rPr>
          <w:rFonts w:ascii="Times New Roman" w:eastAsia="方正仿宋_GBK" w:hAnsi="Times New Roman" w:hint="eastAsia"/>
          <w:sz w:val="32"/>
          <w:szCs w:val="32"/>
        </w:rPr>
        <w:t>%；公共安全（类）支出</w:t>
      </w:r>
      <w:r>
        <w:rPr>
          <w:rFonts w:ascii="Times New Roman" w:eastAsia="方正仿宋_GBK" w:hAnsi="Times New Roman"/>
          <w:sz w:val="32"/>
          <w:szCs w:val="32"/>
        </w:rPr>
        <w:t>369.32</w:t>
      </w:r>
      <w:r>
        <w:rPr>
          <w:rFonts w:ascii="Times New Roman" w:eastAsia="方正仿宋_GBK" w:hAnsi="Times New Roman" w:hint="eastAsia"/>
          <w:sz w:val="32"/>
          <w:szCs w:val="32"/>
        </w:rPr>
        <w:t>万元，占</w:t>
      </w:r>
      <w:r>
        <w:rPr>
          <w:rFonts w:ascii="Times New Roman" w:eastAsia="方正仿宋_GBK" w:hAnsi="Times New Roman"/>
          <w:sz w:val="32"/>
          <w:szCs w:val="32"/>
        </w:rPr>
        <w:t>10.94</w:t>
      </w:r>
      <w:r>
        <w:rPr>
          <w:rFonts w:ascii="Times New Roman" w:eastAsia="方正仿宋_GBK" w:hAnsi="Times New Roman" w:hint="eastAsia"/>
          <w:sz w:val="32"/>
          <w:szCs w:val="32"/>
        </w:rPr>
        <w:t>%；社会保障和就业（类）支出3</w:t>
      </w:r>
      <w:r>
        <w:rPr>
          <w:rFonts w:ascii="Times New Roman" w:eastAsia="方正仿宋_GBK" w:hAnsi="Times New Roman"/>
          <w:sz w:val="32"/>
          <w:szCs w:val="32"/>
        </w:rPr>
        <w:t>24.47</w:t>
      </w:r>
      <w:r>
        <w:rPr>
          <w:rFonts w:ascii="Times New Roman" w:eastAsia="方正仿宋_GBK" w:hAnsi="Times New Roman" w:hint="eastAsia"/>
          <w:sz w:val="32"/>
          <w:szCs w:val="32"/>
        </w:rPr>
        <w:t>万元，占</w:t>
      </w:r>
      <w:r>
        <w:rPr>
          <w:rFonts w:ascii="Times New Roman" w:eastAsia="方正仿宋_GBK" w:hAnsi="Times New Roman"/>
          <w:sz w:val="32"/>
          <w:szCs w:val="32"/>
        </w:rPr>
        <w:t>9.61</w:t>
      </w:r>
      <w:r>
        <w:rPr>
          <w:rFonts w:ascii="Times New Roman" w:eastAsia="方正仿宋_GBK" w:hAnsi="Times New Roman" w:hint="eastAsia"/>
          <w:sz w:val="32"/>
          <w:szCs w:val="32"/>
        </w:rPr>
        <w:t>%；卫生健康（类）支出231.71万元，占</w:t>
      </w:r>
      <w:r>
        <w:rPr>
          <w:rFonts w:ascii="Times New Roman" w:eastAsia="方正仿宋_GBK" w:hAnsi="Times New Roman"/>
          <w:sz w:val="32"/>
          <w:szCs w:val="32"/>
        </w:rPr>
        <w:t>6.86</w:t>
      </w:r>
      <w:r>
        <w:rPr>
          <w:rFonts w:ascii="Times New Roman" w:eastAsia="方正仿宋_GBK" w:hAnsi="Times New Roman" w:hint="eastAsia"/>
          <w:sz w:val="32"/>
          <w:szCs w:val="32"/>
        </w:rPr>
        <w:t>%；住房保障（类）支出</w:t>
      </w:r>
      <w:r>
        <w:rPr>
          <w:rFonts w:ascii="Times New Roman" w:eastAsia="方正仿宋_GBK" w:hAnsi="Times New Roman"/>
          <w:sz w:val="32"/>
          <w:szCs w:val="32"/>
        </w:rPr>
        <w:t>307.06</w:t>
      </w:r>
      <w:r>
        <w:rPr>
          <w:rFonts w:ascii="Times New Roman" w:eastAsia="方正仿宋_GBK" w:hAnsi="Times New Roman" w:hint="eastAsia"/>
          <w:sz w:val="32"/>
          <w:szCs w:val="32"/>
        </w:rPr>
        <w:t>万元，占</w:t>
      </w:r>
      <w:r>
        <w:rPr>
          <w:rFonts w:ascii="Times New Roman" w:eastAsia="方正仿宋_GBK" w:hAnsi="Times New Roman"/>
          <w:sz w:val="32"/>
          <w:szCs w:val="32"/>
        </w:rPr>
        <w:t>9.1</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drawing>
          <wp:anchor distT="0" distB="0" distL="85723" distR="85723" simplePos="0" relativeHeight="19" behindDoc="0" locked="0" layoutInCell="1" hidden="0" allowOverlap="1">
            <wp:simplePos x="0" y="0"/>
            <wp:positionH relativeFrom="column">
              <wp:posOffset>463549</wp:posOffset>
            </wp:positionH>
            <wp:positionV relativeFrom="paragraph">
              <wp:posOffset>320696</wp:posOffset>
            </wp:positionV>
            <wp:extent cx="4571929" cy="2743157"/>
            <wp:effectExtent l="0" t="0" r="0" b="0"/>
            <wp:wrapNone/>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571929" cy="2743157"/>
                    </a:xfrm>
                    <a:prstGeom prst="rect"/>
                    <a:noFill/>
                    <a:ln w="9525" cmpd="sng" cap="flat">
                      <a:noFill/>
                      <a:prstDash val="solid"/>
                      <a:miter/>
                    </a:ln>
                  </pic:spPr>
                </pic:pic>
              </a:graphicData>
            </a:graphic>
          </wp:anchor>
        </w:drawing>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2144.21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年执行数减少</w:t>
      </w:r>
      <w:r>
        <w:rPr>
          <w:rFonts w:ascii="Times New Roman" w:eastAsia="方正仿宋_GBK" w:hAnsi="Times New Roman"/>
          <w:sz w:val="32"/>
          <w:szCs w:val="32"/>
        </w:rPr>
        <w:t>96.27</w:t>
      </w:r>
      <w:r>
        <w:rPr>
          <w:rFonts w:ascii="Times New Roman" w:eastAsia="方正仿宋_GBK" w:hAnsi="Times New Roman" w:hint="eastAsia"/>
          <w:sz w:val="32"/>
          <w:szCs w:val="32"/>
        </w:rPr>
        <w:t>万元，下降</w:t>
      </w:r>
      <w:r>
        <w:rPr>
          <w:rFonts w:ascii="Times New Roman" w:eastAsia="方正仿宋_GBK" w:hAnsi="Times New Roman"/>
          <w:sz w:val="32"/>
          <w:szCs w:val="32"/>
        </w:rPr>
        <w:t>4.3</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5</w:t>
      </w:r>
      <w:r>
        <w:rPr>
          <w:rFonts w:ascii="Times New Roman" w:eastAsia="方正仿宋_GBK" w:hAnsi="Times New Roman" w:hint="eastAsia"/>
          <w:sz w:val="32"/>
          <w:szCs w:val="32"/>
        </w:rPr>
        <w:t>年预算1</w:t>
      </w:r>
      <w:r>
        <w:rPr>
          <w:rFonts w:ascii="Times New Roman" w:eastAsia="方正仿宋_GBK" w:hAnsi="Times New Roman"/>
          <w:sz w:val="32"/>
          <w:szCs w:val="32"/>
        </w:rPr>
        <w:t>828.31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年执行数减少1</w:t>
      </w:r>
      <w:r>
        <w:rPr>
          <w:rFonts w:ascii="Times New Roman" w:eastAsia="方正仿宋_GBK" w:hAnsi="Times New Roman"/>
          <w:sz w:val="32"/>
          <w:szCs w:val="32"/>
        </w:rPr>
        <w:t>55.27</w:t>
      </w:r>
      <w:r>
        <w:rPr>
          <w:rFonts w:ascii="Times New Roman" w:eastAsia="方正仿宋_GBK" w:hAnsi="Times New Roman" w:hint="eastAsia"/>
          <w:sz w:val="32"/>
          <w:szCs w:val="32"/>
        </w:rPr>
        <w:t>万元，下降</w:t>
      </w:r>
      <w:r>
        <w:rPr>
          <w:rFonts w:ascii="Times New Roman" w:eastAsia="方正仿宋_GBK" w:hAnsi="Times New Roman"/>
          <w:sz w:val="32"/>
          <w:szCs w:val="32"/>
        </w:rPr>
        <w:t>7.83</w:t>
      </w:r>
      <w:r>
        <w:rPr>
          <w:rFonts w:ascii="Times New Roman" w:eastAsia="方正仿宋_GBK" w:hAnsi="Times New Roman" w:hint="eastAsia"/>
          <w:sz w:val="32"/>
          <w:szCs w:val="32"/>
        </w:rPr>
        <w:t>%。主要是落实过“紧日子”要求，压减相关经费。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（2）缉私办案（项）202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2.91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年执行数减少</w:t>
      </w:r>
      <w:r>
        <w:rPr>
          <w:rFonts w:ascii="Times New Roman" w:eastAsia="方正仿宋_GBK" w:hAnsi="Times New Roman"/>
          <w:sz w:val="32"/>
          <w:szCs w:val="32"/>
        </w:rPr>
        <w:t>28.01</w:t>
      </w:r>
      <w:r>
        <w:rPr>
          <w:rFonts w:ascii="Times New Roman" w:eastAsia="方正仿宋_GBK" w:hAnsi="Times New Roman" w:hint="eastAsia"/>
          <w:sz w:val="32"/>
          <w:szCs w:val="32"/>
        </w:rPr>
        <w:t>万元，下降</w:t>
      </w:r>
      <w:r>
        <w:rPr>
          <w:rFonts w:ascii="Times New Roman" w:eastAsia="方正仿宋_GBK" w:hAnsi="Times New Roman"/>
          <w:sz w:val="32"/>
          <w:szCs w:val="32"/>
        </w:rPr>
        <w:t>90.59</w:t>
      </w:r>
      <w:r>
        <w:rPr>
          <w:rFonts w:ascii="Times New Roman" w:eastAsia="方正仿宋_GBK" w:hAnsi="Times New Roman" w:hint="eastAsia"/>
          <w:sz w:val="32"/>
          <w:szCs w:val="32"/>
        </w:rPr>
        <w:t>%。主要是减少了鉴定费</w:t>
      </w:r>
      <w:r>
        <w:rPr>
          <w:rFonts w:ascii="Times New Roman" w:eastAsia="方正仿宋_GBK" w:hAnsi="Times New Roman"/>
          <w:sz w:val="32"/>
          <w:szCs w:val="32"/>
        </w:rPr>
        <w:t>、涉案财物处置费用</w:t>
      </w:r>
      <w:r>
        <w:rPr>
          <w:rFonts w:ascii="Times New Roman" w:eastAsia="方正仿宋_GBK" w:hAnsi="Times New Roman" w:hint="eastAsia"/>
          <w:sz w:val="32"/>
          <w:szCs w:val="32"/>
        </w:rPr>
        <w:t>等开支计划。</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（3）海关关务（项）202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229.41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56.01</w:t>
      </w:r>
      <w:r>
        <w:rPr>
          <w:rFonts w:ascii="Times New Roman" w:eastAsia="方正仿宋_GBK" w:hAnsi="Times New Roman" w:hint="eastAsia"/>
          <w:sz w:val="32"/>
          <w:szCs w:val="32"/>
        </w:rPr>
        <w:t>万元，增长</w:t>
      </w:r>
      <w:r>
        <w:rPr>
          <w:rFonts w:ascii="Times New Roman" w:eastAsia="方正仿宋_GBK" w:hAnsi="Times New Roman"/>
          <w:sz w:val="32"/>
          <w:szCs w:val="32"/>
        </w:rPr>
        <w:t>32.3</w:t>
      </w:r>
      <w:r>
        <w:rPr>
          <w:rFonts w:ascii="Times New Roman" w:eastAsia="方正仿宋_GBK" w:hAnsi="Times New Roman" w:hint="eastAsia"/>
          <w:sz w:val="32"/>
          <w:szCs w:val="32"/>
        </w:rPr>
        <w:t>%。主要是将鉴定费、</w:t>
      </w:r>
      <w:r>
        <w:rPr>
          <w:rFonts w:ascii="Times New Roman" w:eastAsia="方正仿宋_GBK" w:hAnsi="Times New Roman"/>
          <w:sz w:val="32"/>
          <w:szCs w:val="32"/>
        </w:rPr>
        <w:t>公务用车购置费</w:t>
      </w:r>
      <w:r>
        <w:rPr>
          <w:rFonts w:ascii="Times New Roman" w:eastAsia="方正仿宋_GBK" w:hAnsi="Times New Roman" w:hint="eastAsia"/>
          <w:sz w:val="32"/>
          <w:szCs w:val="32"/>
        </w:rPr>
        <w:t>等支出归入该项下保障。</w:t>
      </w:r>
    </w:p>
    <w:p>
      <w:pPr>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eastAsia="方正仿宋_GBK" w:hAnsi="Times New Roman" w:hint="eastAsia"/>
          <w:sz w:val="32"/>
          <w:szCs w:val="32"/>
        </w:rPr>
        <w:t>4）海关监管（项）202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70</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增加30</w:t>
      </w:r>
      <w:r>
        <w:rPr>
          <w:rFonts w:ascii="Times New Roman" w:eastAsia="方正仿宋_GBK" w:hAnsi="Times New Roman" w:hint="eastAsia"/>
          <w:sz w:val="32"/>
          <w:szCs w:val="32"/>
        </w:rPr>
        <w:t>万元，</w:t>
      </w:r>
      <w:r>
        <w:rPr>
          <w:rFonts w:ascii="Times New Roman" w:eastAsia="方正仿宋_GBK" w:hAnsi="Times New Roman"/>
          <w:sz w:val="32"/>
          <w:szCs w:val="32"/>
        </w:rPr>
        <w:t>增长75</w:t>
      </w:r>
      <w:r>
        <w:rPr>
          <w:rFonts w:ascii="Times New Roman" w:eastAsia="方正仿宋_GBK" w:hAnsi="Times New Roman" w:hint="eastAsia"/>
          <w:sz w:val="32"/>
          <w:szCs w:val="32"/>
        </w:rPr>
        <w:t>%。主要是</w:t>
      </w:r>
      <w:r>
        <w:rPr>
          <w:rFonts w:ascii="Times New Roman" w:eastAsia="方正仿宋_GBK" w:hAnsi="Times New Roman"/>
          <w:sz w:val="32"/>
          <w:szCs w:val="32"/>
        </w:rPr>
        <w:t>增加了</w:t>
      </w:r>
      <w:r>
        <w:rPr>
          <w:rFonts w:ascii="Times New Roman" w:eastAsia="方正仿宋_GBK" w:hAnsi="Times New Roman" w:hint="eastAsia"/>
          <w:sz w:val="32"/>
          <w:szCs w:val="32"/>
        </w:rPr>
        <w:t>监管</w:t>
      </w:r>
      <w:r>
        <w:rPr>
          <w:rFonts w:ascii="Times New Roman" w:eastAsia="方正仿宋_GBK" w:hAnsi="Times New Roman"/>
          <w:sz w:val="32"/>
          <w:szCs w:val="32"/>
        </w:rPr>
        <w:t>设备购置</w:t>
      </w:r>
      <w:r>
        <w:rPr>
          <w:rFonts w:ascii="Times New Roman" w:eastAsia="方正仿宋_GBK" w:hAnsi="Times New Roman" w:hint="eastAsia"/>
          <w:sz w:val="32"/>
          <w:szCs w:val="32"/>
        </w:rPr>
        <w:t>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（5）检验检疫（项）202</w:t>
      </w:r>
      <w:r>
        <w:rPr>
          <w:rFonts w:ascii="Times New Roman" w:eastAsia="方正仿宋_GBK" w:hAnsi="Times New Roman"/>
          <w:sz w:val="32"/>
          <w:szCs w:val="32"/>
        </w:rPr>
        <w:t>5</w:t>
      </w:r>
      <w:r>
        <w:rPr>
          <w:rFonts w:ascii="Times New Roman" w:eastAsia="方正仿宋_GBK" w:hAnsi="Times New Roman" w:hint="eastAsia"/>
          <w:sz w:val="32"/>
          <w:szCs w:val="32"/>
        </w:rPr>
        <w:t>年预算1</w:t>
      </w:r>
      <w:r>
        <w:rPr>
          <w:rFonts w:ascii="Times New Roman" w:eastAsia="方正仿宋_GBK" w:hAnsi="Times New Roman"/>
          <w:sz w:val="32"/>
          <w:szCs w:val="32"/>
        </w:rPr>
        <w:t>3.58</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增加1</w:t>
      </w:r>
      <w:r>
        <w:rPr>
          <w:rFonts w:ascii="Times New Roman" w:eastAsia="方正仿宋_GBK" w:hAnsi="Times New Roman" w:hint="eastAsia"/>
          <w:sz w:val="32"/>
          <w:szCs w:val="32"/>
        </w:rPr>
        <w:t>万元，</w:t>
      </w:r>
      <w:r>
        <w:rPr>
          <w:rFonts w:ascii="Times New Roman" w:eastAsia="方正仿宋_GBK" w:hAnsi="Times New Roman"/>
          <w:sz w:val="32"/>
          <w:szCs w:val="32"/>
        </w:rPr>
        <w:t>增长7.95</w:t>
      </w:r>
      <w:r>
        <w:rPr>
          <w:rFonts w:ascii="Times New Roman" w:eastAsia="方正仿宋_GBK" w:hAnsi="Times New Roman" w:hint="eastAsia"/>
          <w:sz w:val="32"/>
          <w:szCs w:val="32"/>
        </w:rPr>
        <w:t>%。主要是检验检疫</w:t>
      </w:r>
      <w:r>
        <w:rPr>
          <w:rFonts w:ascii="Times New Roman" w:eastAsia="方正仿宋_GBK" w:hAnsi="Times New Roman"/>
          <w:sz w:val="32"/>
          <w:szCs w:val="32"/>
        </w:rPr>
        <w:t>相关监控工作</w:t>
      </w:r>
      <w:r>
        <w:rPr>
          <w:rFonts w:ascii="Times New Roman" w:eastAsia="方正仿宋_GBK" w:hAnsi="Times New Roman" w:hint="eastAsia"/>
          <w:sz w:val="32"/>
          <w:szCs w:val="32"/>
        </w:rPr>
        <w:t>支出</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2．公共安全支出（类）缉私警察（款）202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369.32</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33.58</w:t>
      </w:r>
      <w:r>
        <w:rPr>
          <w:rFonts w:ascii="Times New Roman" w:eastAsia="方正仿宋_GBK" w:hAnsi="Times New Roman" w:hint="eastAsia"/>
          <w:sz w:val="32"/>
          <w:szCs w:val="32"/>
        </w:rPr>
        <w:t>万元，增长</w:t>
      </w:r>
      <w:r>
        <w:rPr>
          <w:rFonts w:ascii="Times New Roman" w:eastAsia="方正仿宋_GBK" w:hAnsi="Times New Roman"/>
          <w:sz w:val="32"/>
          <w:szCs w:val="32"/>
        </w:rPr>
        <w:t>10</w:t>
      </w:r>
      <w:r>
        <w:rPr>
          <w:rFonts w:ascii="Times New Roman" w:eastAsia="方正仿宋_GBK" w:hAnsi="Times New Roman" w:hint="eastAsia"/>
          <w:sz w:val="32"/>
          <w:szCs w:val="32"/>
        </w:rPr>
        <w:t>%。主要是</w:t>
      </w:r>
      <w:r>
        <w:rPr>
          <w:rFonts w:ascii="Times New Roman" w:eastAsia="方正仿宋_GBK" w:hAnsi="Times New Roman"/>
          <w:sz w:val="32"/>
          <w:szCs w:val="32"/>
        </w:rPr>
        <w:t>缉私警察人数增加，相应人员经费和定员定额公用经费</w:t>
      </w:r>
      <w:r>
        <w:rPr>
          <w:rFonts w:ascii="Times New Roman" w:eastAsia="方正仿宋_GBK" w:hAnsi="Times New Roman" w:hint="eastAsia"/>
          <w:sz w:val="32"/>
          <w:szCs w:val="32"/>
        </w:rPr>
        <w:t>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3．社会保障和就业支出（类）行政事业单位养老支出（款）202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324.47</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增加23.1</w:t>
      </w:r>
      <w:r>
        <w:rPr>
          <w:rFonts w:ascii="Times New Roman" w:eastAsia="方正仿宋_GBK" w:hAnsi="Times New Roman" w:hint="eastAsia"/>
          <w:sz w:val="32"/>
          <w:szCs w:val="32"/>
        </w:rPr>
        <w:t>万元，</w:t>
      </w:r>
      <w:r>
        <w:rPr>
          <w:rFonts w:ascii="Times New Roman" w:eastAsia="方正仿宋_GBK" w:hAnsi="Times New Roman"/>
          <w:sz w:val="32"/>
          <w:szCs w:val="32"/>
        </w:rPr>
        <w:t>增长7.66</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1.82</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年执行数增加0.</w:t>
      </w:r>
      <w:r>
        <w:rPr>
          <w:rFonts w:ascii="Times New Roman" w:eastAsia="方正仿宋_GBK" w:hAnsi="Times New Roman"/>
          <w:sz w:val="32"/>
          <w:szCs w:val="32"/>
        </w:rPr>
        <w:t>22</w:t>
      </w:r>
      <w:r>
        <w:rPr>
          <w:rFonts w:ascii="Times New Roman" w:eastAsia="方正仿宋_GBK" w:hAnsi="Times New Roman" w:hint="eastAsia"/>
          <w:sz w:val="32"/>
          <w:szCs w:val="32"/>
        </w:rPr>
        <w:t>万元，增长</w:t>
      </w:r>
      <w:r>
        <w:rPr>
          <w:rFonts w:ascii="Times New Roman" w:eastAsia="方正仿宋_GBK" w:hAnsi="Times New Roman"/>
          <w:sz w:val="32"/>
          <w:szCs w:val="32"/>
        </w:rPr>
        <w:t>13.75</w:t>
      </w:r>
      <w:r>
        <w:rPr>
          <w:rFonts w:ascii="Times New Roman" w:eastAsia="方正仿宋_GBK" w:hAnsi="Times New Roman" w:hint="eastAsia"/>
          <w:sz w:val="32"/>
          <w:szCs w:val="32"/>
        </w:rPr>
        <w:t>%。主要是行政单位离退休经费增加。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（3）机关事业单位基本养老保险缴费支出（项）202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212.44</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增加11.2</w:t>
      </w:r>
      <w:r>
        <w:rPr>
          <w:rFonts w:ascii="Times New Roman" w:eastAsia="方正仿宋_GBK" w:hAnsi="Times New Roman" w:hint="eastAsia"/>
          <w:sz w:val="32"/>
          <w:szCs w:val="32"/>
        </w:rPr>
        <w:t>万元，</w:t>
      </w:r>
      <w:r>
        <w:rPr>
          <w:rFonts w:ascii="Times New Roman" w:eastAsia="方正仿宋_GBK" w:hAnsi="Times New Roman"/>
          <w:sz w:val="32"/>
          <w:szCs w:val="32"/>
        </w:rPr>
        <w:t>增长5.57</w:t>
      </w:r>
      <w:r>
        <w:rPr>
          <w:rFonts w:ascii="Times New Roman" w:eastAsia="方正仿宋_GBK" w:hAnsi="Times New Roman" w:hint="eastAsia"/>
          <w:sz w:val="32"/>
          <w:szCs w:val="32"/>
        </w:rPr>
        <w:t>%。主要是基本养老保险单位缴费经费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（4）机关事业单位职业年金缴费支出（项）202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110.21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增加11.68</w:t>
      </w:r>
      <w:r>
        <w:rPr>
          <w:rFonts w:ascii="Times New Roman" w:eastAsia="方正仿宋_GBK" w:hAnsi="Times New Roman" w:hint="eastAsia"/>
          <w:sz w:val="32"/>
          <w:szCs w:val="32"/>
        </w:rPr>
        <w:t>万元，</w:t>
      </w:r>
      <w:r>
        <w:rPr>
          <w:rFonts w:ascii="Times New Roman" w:eastAsia="方正仿宋_GBK" w:hAnsi="Times New Roman"/>
          <w:sz w:val="32"/>
          <w:szCs w:val="32"/>
        </w:rPr>
        <w:t>增长11.85</w:t>
      </w:r>
      <w:r>
        <w:rPr>
          <w:rFonts w:ascii="Times New Roman" w:eastAsia="方正仿宋_GBK" w:hAnsi="Times New Roman" w:hint="eastAsia"/>
          <w:sz w:val="32"/>
          <w:szCs w:val="32"/>
        </w:rPr>
        <w:t>%。主要是职业年金单位缴费经费增加。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4．卫生健康支出（类）行政事业单位医疗（款）202</w:t>
      </w:r>
      <w:r>
        <w:rPr>
          <w:rFonts w:ascii="Times New Roman" w:eastAsia="方正仿宋_GBK" w:hAnsi="Times New Roman"/>
          <w:sz w:val="32"/>
          <w:szCs w:val="32"/>
        </w:rPr>
        <w:t>5</w:t>
      </w:r>
      <w:r>
        <w:rPr>
          <w:rFonts w:ascii="Times New Roman" w:eastAsia="方正仿宋_GBK" w:hAnsi="Times New Roman" w:hint="eastAsia"/>
          <w:sz w:val="32"/>
          <w:szCs w:val="32"/>
        </w:rPr>
        <w:t>年预算231.71万元，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持平。</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sz w:val="32"/>
          <w:szCs w:val="32"/>
        </w:rPr>
        <w:t>5</w:t>
      </w:r>
      <w:r>
        <w:rPr>
          <w:rFonts w:ascii="Times New Roman" w:eastAsia="方正仿宋_GBK" w:hAnsi="Times New Roman" w:hint="eastAsia"/>
          <w:sz w:val="32"/>
          <w:szCs w:val="32"/>
        </w:rPr>
        <w:t>年预算145.57万元，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持平</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sz w:val="32"/>
          <w:szCs w:val="32"/>
        </w:rPr>
        <w:t>5</w:t>
      </w:r>
      <w:r>
        <w:rPr>
          <w:rFonts w:ascii="Times New Roman" w:eastAsia="方正仿宋_GBK" w:hAnsi="Times New Roman" w:hint="eastAsia"/>
          <w:sz w:val="32"/>
          <w:szCs w:val="32"/>
        </w:rPr>
        <w:t>年预算84.84万元，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持平</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）其他行政事业单位医疗支出（项）202</w:t>
      </w:r>
      <w:r>
        <w:rPr>
          <w:rFonts w:ascii="Times New Roman" w:eastAsia="方正仿宋_GBK" w:hAnsi="Times New Roman"/>
          <w:sz w:val="32"/>
          <w:szCs w:val="32"/>
        </w:rPr>
        <w:t>5</w:t>
      </w:r>
      <w:r>
        <w:rPr>
          <w:rFonts w:ascii="Times New Roman" w:eastAsia="方正仿宋_GBK" w:hAnsi="Times New Roman" w:hint="eastAsia"/>
          <w:sz w:val="32"/>
          <w:szCs w:val="32"/>
        </w:rPr>
        <w:t>年</w:t>
      </w:r>
      <w:r>
        <w:rPr>
          <w:rFonts w:ascii="Times New Roman" w:eastAsia="方正仿宋_GBK" w:hAnsi="Times New Roman"/>
          <w:sz w:val="32"/>
          <w:szCs w:val="32"/>
        </w:rPr>
        <w:t>预算</w:t>
      </w:r>
      <w:r>
        <w:rPr>
          <w:rFonts w:ascii="Times New Roman" w:eastAsia="方正仿宋_GBK" w:hAnsi="Times New Roman" w:hint="eastAsia"/>
          <w:sz w:val="32"/>
          <w:szCs w:val="32"/>
        </w:rPr>
        <w:t>1.3万元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执行数持平</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5．住房保障支出（类）住房改革支出（款）202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307.06</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12.4</w:t>
      </w:r>
      <w:r>
        <w:rPr>
          <w:rFonts w:ascii="Times New Roman" w:eastAsia="方正仿宋_GBK" w:hAnsi="Times New Roman" w:hint="eastAsia"/>
          <w:sz w:val="32"/>
          <w:szCs w:val="32"/>
        </w:rPr>
        <w:t>万元，增长</w:t>
      </w:r>
      <w:r>
        <w:rPr>
          <w:rFonts w:ascii="Times New Roman" w:eastAsia="方正仿宋_GBK" w:hAnsi="Times New Roman"/>
          <w:sz w:val="32"/>
          <w:szCs w:val="32"/>
        </w:rPr>
        <w:t>4.21</w:t>
      </w:r>
      <w:r>
        <w:rPr>
          <w:rFonts w:ascii="Times New Roman" w:eastAsia="方正仿宋_GBK" w:hAnsi="Times New Roman" w:hint="eastAsia"/>
          <w:sz w:val="32"/>
          <w:szCs w:val="32"/>
        </w:rPr>
        <w:t>%。主要是缴存基数调整和职务职级变动相应增加经费支出。其中：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170.8</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12.4</w:t>
      </w:r>
      <w:r>
        <w:rPr>
          <w:rFonts w:ascii="Times New Roman" w:eastAsia="方正仿宋_GBK" w:hAnsi="Times New Roman" w:hint="eastAsia"/>
          <w:sz w:val="32"/>
          <w:szCs w:val="32"/>
        </w:rPr>
        <w:t>万元，增长</w:t>
      </w:r>
      <w:r>
        <w:rPr>
          <w:rFonts w:ascii="Times New Roman" w:eastAsia="方正仿宋_GBK" w:hAnsi="Times New Roman"/>
          <w:sz w:val="32"/>
          <w:szCs w:val="32"/>
        </w:rPr>
        <w:t>7.83</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w:t>
      </w:r>
      <w:r>
        <w:rPr>
          <w:rFonts w:ascii="Times New Roman" w:eastAsia="方正仿宋_GBK" w:hAnsi="Times New Roman"/>
          <w:sz w:val="32"/>
          <w:szCs w:val="32"/>
        </w:rPr>
        <w:t>5</w:t>
      </w:r>
      <w:r>
        <w:rPr>
          <w:rFonts w:ascii="Times New Roman" w:eastAsia="方正仿宋_GBK" w:hAnsi="Times New Roman" w:hint="eastAsia"/>
          <w:sz w:val="32"/>
          <w:szCs w:val="32"/>
        </w:rPr>
        <w:t>年预算136.26万元，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持平</w:t>
      </w:r>
      <w:r>
        <w:rPr>
          <w:rFonts w:ascii="Times New Roman" w:eastAsia="方正仿宋_GBK" w:hAnsi="Times New Roman" w:hint="eastAsia"/>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六、关于福州长乐机场海关202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5</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3000.87</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2436.06</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万元，主要包括：基本工资、津贴补贴、奖金、机关事业单位基本养老保险缴费、职业年金缴费、职工基本医疗保险缴费、公务员医疗补助缴费、其他社会保障缴费、住房公积金、其他工资福利支出；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sz w:val="32"/>
          <w:szCs w:val="32"/>
        </w:rPr>
        <w:t>564.81</w:t>
      </w:r>
      <w:r>
        <w:rPr>
          <w:rFonts w:ascii="Times New Roman" w:eastAsia="方正仿宋_GBK" w:hAnsi="Times New Roman" w:hint="eastAsia"/>
          <w:sz w:val="32"/>
          <w:szCs w:val="32"/>
        </w:rPr>
        <w:t>万元，主要包括：办公费、手续费、水费、电费、邮电费、物业管理费、差旅费、维修（护）费、</w:t>
      </w:r>
      <w:r>
        <w:rPr>
          <w:rFonts w:ascii="Times New Roman" w:eastAsia="方正仿宋_GBK" w:hAnsi="Times New Roman"/>
          <w:sz w:val="32"/>
          <w:szCs w:val="32"/>
        </w:rPr>
        <w:t>租赁费、</w:t>
      </w:r>
      <w:r>
        <w:rPr>
          <w:rFonts w:ascii="Times New Roman" w:eastAsia="方正仿宋_GBK" w:hAnsi="Times New Roman" w:hint="eastAsia"/>
          <w:sz w:val="32"/>
          <w:szCs w:val="32"/>
        </w:rPr>
        <w:t>会议费、培训费、公务接待费、专用材料费劳务费、委托业务费、工会经费、福利费、公务用车运行维护费、其他交通费用、其他商品和服务支出、办公设备购置。</w:t>
      </w:r>
    </w:p>
    <w:p>
      <w:pPr>
        <w:pStyle w:val="18"/>
        <w:spacing w:line="560" w:lineRule="exact"/>
        <w:ind w:firstLineChars="200" w:firstLine="640"/>
        <w:rPr>
          <w:rFonts w:eastAsia="方正黑体_GBK"/>
          <w:sz w:val="32"/>
          <w:szCs w:val="32"/>
        </w:rPr>
      </w:pPr>
      <w:r>
        <w:rPr>
          <w:rFonts w:eastAsia="方正黑体_GBK" w:hint="eastAsia"/>
          <w:sz w:val="32"/>
          <w:szCs w:val="32"/>
        </w:rPr>
        <w:t>七、关于福州长乐机场海关202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5</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88.61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年预算数增加15.5万元。其中：公务用车购置费</w:t>
      </w:r>
      <w:r>
        <w:rPr>
          <w:rFonts w:ascii="Times New Roman" w:eastAsia="方正仿宋_GBK" w:hAnsi="Times New Roman"/>
          <w:sz w:val="32"/>
          <w:szCs w:val="32"/>
        </w:rPr>
        <w:t>27.5</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年预算数增加</w:t>
      </w:r>
      <w:r>
        <w:rPr>
          <w:rFonts w:ascii="Times New Roman" w:eastAsia="方正仿宋_GBK" w:hAnsi="Times New Roman"/>
          <w:sz w:val="32"/>
          <w:szCs w:val="32"/>
        </w:rPr>
        <w:t>15.5</w:t>
      </w:r>
      <w:r>
        <w:rPr>
          <w:rFonts w:ascii="Times New Roman" w:eastAsia="方正仿宋_GBK" w:hAnsi="Times New Roman" w:hint="eastAsia"/>
          <w:sz w:val="32"/>
          <w:szCs w:val="32"/>
        </w:rPr>
        <w:t>万元；公务用车运行费60万元，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年预算数</w:t>
      </w:r>
      <w:r>
        <w:rPr>
          <w:rFonts w:ascii="Times New Roman" w:eastAsia="方正仿宋_GBK" w:hAnsi="Times New Roman"/>
          <w:sz w:val="32"/>
          <w:szCs w:val="32"/>
        </w:rPr>
        <w:t>一致</w:t>
      </w:r>
      <w:r>
        <w:rPr>
          <w:rFonts w:ascii="Times New Roman" w:eastAsia="方正仿宋_GBK" w:hAnsi="Times New Roman" w:hint="eastAsia"/>
          <w:sz w:val="32"/>
          <w:szCs w:val="32"/>
        </w:rPr>
        <w:t>；公务接待费1.11万元，与202</w:t>
      </w:r>
      <w:r>
        <w:rPr>
          <w:rFonts w:ascii="Times New Roman" w:eastAsia="方正仿宋_GBK" w:hAnsi="Times New Roman"/>
          <w:sz w:val="32"/>
          <w:szCs w:val="32"/>
        </w:rPr>
        <w:t>4</w:t>
      </w:r>
      <w:r>
        <w:rPr>
          <w:rFonts w:ascii="Times New Roman" w:eastAsia="方正仿宋_GBK" w:hAnsi="Times New Roman" w:hint="eastAsia"/>
          <w:sz w:val="32"/>
          <w:szCs w:val="32"/>
        </w:rPr>
        <w:t>年预算数一致。主要是</w:t>
      </w:r>
      <w:r>
        <w:rPr>
          <w:rFonts w:ascii="Times New Roman" w:eastAsia="方正仿宋_GBK" w:hAnsi="Times New Roman"/>
          <w:sz w:val="32"/>
          <w:szCs w:val="32"/>
        </w:rPr>
        <w:t>海关系统公务用车老化严重，</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w:t>
      </w:r>
      <w:r>
        <w:rPr>
          <w:rFonts w:ascii="Times New Roman" w:eastAsia="方正仿宋_GBK" w:hAnsi="Times New Roman"/>
          <w:sz w:val="32"/>
          <w:szCs w:val="32"/>
        </w:rPr>
        <w:t>根据实际需求</w:t>
      </w:r>
      <w:r>
        <w:rPr>
          <w:rFonts w:ascii="Times New Roman" w:eastAsia="方正仿宋_GBK" w:hAnsi="Times New Roman" w:hint="eastAsia"/>
          <w:sz w:val="32"/>
          <w:szCs w:val="32"/>
        </w:rPr>
        <w:t>购置车辆</w:t>
      </w:r>
      <w:r>
        <w:rPr>
          <w:rFonts w:ascii="Times New Roman" w:eastAsia="方正仿宋_GBK" w:hAnsi="Times New Roman"/>
          <w:sz w:val="32"/>
          <w:szCs w:val="32"/>
        </w:rPr>
        <w:t>，相应</w:t>
      </w:r>
      <w:r>
        <w:rPr>
          <w:rFonts w:ascii="Times New Roman" w:eastAsia="方正仿宋_GBK" w:hAnsi="Times New Roman" w:hint="eastAsia"/>
          <w:sz w:val="32"/>
          <w:szCs w:val="32"/>
        </w:rPr>
        <w:t>增加</w:t>
      </w:r>
      <w:r>
        <w:rPr>
          <w:rFonts w:ascii="Times New Roman" w:eastAsia="方正仿宋_GBK" w:hAnsi="Times New Roman"/>
          <w:sz w:val="32"/>
          <w:szCs w:val="32"/>
        </w:rPr>
        <w:t>公务用车运行费支出，三公经费总规模</w:t>
      </w:r>
      <w:r>
        <w:rPr>
          <w:rFonts w:ascii="Times New Roman" w:eastAsia="方正仿宋_GBK" w:hAnsi="Times New Roman" w:hint="eastAsia"/>
          <w:sz w:val="32"/>
          <w:szCs w:val="32"/>
        </w:rPr>
        <w:t>增加</w:t>
      </w:r>
      <w:r>
        <w:rPr>
          <w:rFonts w:ascii="Times New Roman" w:eastAsia="方正仿宋_GBK" w:hAnsi="Times New Roman"/>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八、关于福州长乐机场海关202</w:t>
      </w:r>
      <w:r>
        <w:rPr>
          <w:rFonts w:eastAsia="方正黑体_GBK"/>
          <w:sz w:val="32"/>
          <w:szCs w:val="32"/>
        </w:rPr>
        <w:t>5</w:t>
      </w:r>
      <w:r>
        <w:rPr>
          <w:rFonts w:eastAsia="方正黑体_GBK" w:hint="eastAsia"/>
          <w:sz w:val="32"/>
          <w:szCs w:val="32"/>
        </w:rPr>
        <w:t>年政府性基金预算收支情况说明</w:t>
      </w:r>
    </w:p>
    <w:p>
      <w:pPr>
        <w:pStyle w:val="144"/>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5</w:t>
      </w:r>
      <w:r>
        <w:rPr>
          <w:rFonts w:ascii="Times New Roman" w:eastAsia="方正仿宋_GBK" w:hAnsi="Times New Roman" w:hint="eastAsia"/>
          <w:sz w:val="32"/>
          <w:szCs w:val="32"/>
        </w:rPr>
        <w:t>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九、关于福州长乐机场海关202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福州长乐机场海关202</w:t>
      </w:r>
      <w:r>
        <w:rPr>
          <w:rFonts w:ascii="Times New Roman" w:eastAsia="方正仿宋_GBK" w:hAnsi="Times New Roman"/>
          <w:sz w:val="32"/>
          <w:szCs w:val="32"/>
        </w:rPr>
        <w:t>5</w:t>
      </w:r>
      <w:r>
        <w:rPr>
          <w:rFonts w:ascii="Times New Roman" w:eastAsia="方正仿宋_GBK" w:hAnsi="Times New Roman" w:hint="eastAsia"/>
          <w:sz w:val="32"/>
          <w:szCs w:val="32"/>
        </w:rPr>
        <w:t>年无国有资</w:t>
      </w:r>
      <w:bookmarkStart w:id="1" w:name="_GoBack"/>
      <w:bookmarkEnd w:id="1"/>
      <w:r>
        <w:rPr>
          <w:rFonts w:ascii="Times New Roman" w:eastAsia="方正仿宋_GBK" w:hAnsi="Times New Roman" w:hint="eastAsia"/>
          <w:sz w:val="32"/>
          <w:szCs w:val="32"/>
        </w:rPr>
        <w:t>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年福州长乐机场海关机关运行经费财政拨款预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564.81</w:t>
      </w:r>
      <w:r>
        <w:rPr>
          <w:rFonts w:ascii="Times New Roman" w:eastAsia="方正仿宋_GBK" w:hAnsi="Times New Roman" w:hint="eastAsia"/>
          <w:sz w:val="32"/>
          <w:szCs w:val="32"/>
        </w:rPr>
        <w:t>万元，较202</w:t>
      </w:r>
      <w:r>
        <w:rPr>
          <w:rFonts w:ascii="Times New Roman" w:eastAsia="方正仿宋_GBK" w:hAnsi="Times New Roman"/>
          <w:sz w:val="32"/>
          <w:szCs w:val="32"/>
        </w:rPr>
        <w:t>4</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减少20.02</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减少3.42</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主要是落实过“紧日子”要求，压减相关经费</w:t>
      </w:r>
      <w:r>
        <w:rPr>
          <w:rFonts w:ascii="Times New Roman" w:eastAsia="方正仿宋_GBK" w:hAnsi="Times New Roman"/>
          <w:sz w:val="32"/>
          <w:szCs w:val="32"/>
        </w:rPr>
        <w:t>。</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年福州长乐机场海关政府采购预算总额</w:t>
      </w:r>
      <w:r>
        <w:rPr>
          <w:rFonts w:ascii="Times New Roman" w:eastAsia="方正仿宋_GBK" w:hAnsi="Times New Roman"/>
          <w:sz w:val="32"/>
          <w:szCs w:val="32"/>
        </w:rPr>
        <w:t>183.6</w:t>
      </w:r>
      <w:r>
        <w:rPr>
          <w:rFonts w:ascii="Times New Roman" w:eastAsia="方正仿宋_GBK" w:hAnsi="Times New Roman" w:hint="eastAsia"/>
          <w:sz w:val="32"/>
          <w:szCs w:val="32"/>
        </w:rPr>
        <w:t>万元，均为政府采购货物预算。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firstLineChars="200" w:firstLine="640"/>
        <w:rPr>
          <w:rFonts w:ascii="Times New Roman" w:eastAsia="方正仿宋_GBK" w:hAnsi="Times New Roman"/>
          <w:color w:val="000000"/>
          <w:sz w:val="32"/>
          <w:szCs w:val="32"/>
          <w:highlight w:val="yellow"/>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4</w:t>
      </w:r>
      <w:r>
        <w:rPr>
          <w:rFonts w:ascii="Times New Roman" w:eastAsia="方正仿宋_GBK" w:hAnsi="Times New Roman" w:hint="eastAsia"/>
          <w:color w:val="000000"/>
          <w:sz w:val="32"/>
          <w:szCs w:val="32"/>
        </w:rPr>
        <w:t>年12月31日，福州长乐机场海关共有车辆1</w:t>
      </w:r>
      <w:r>
        <w:rPr>
          <w:rFonts w:ascii="Times New Roman" w:eastAsia="方正仿宋_GBK" w:hAnsi="Times New Roman"/>
          <w:color w:val="000000"/>
          <w:sz w:val="32"/>
          <w:szCs w:val="32"/>
        </w:rPr>
        <w:t>3</w:t>
      </w:r>
      <w:r>
        <w:rPr>
          <w:rFonts w:ascii="Times New Roman" w:eastAsia="方正仿宋_GBK" w:hAnsi="Times New Roman" w:hint="eastAsia"/>
          <w:color w:val="000000"/>
          <w:sz w:val="32"/>
          <w:szCs w:val="32"/>
        </w:rPr>
        <w:t>辆，其中，机要通信用车</w:t>
      </w:r>
      <w:r>
        <w:rPr>
          <w:rFonts w:ascii="Times New Roman" w:eastAsia="方正仿宋_GBK" w:hAnsi="Times New Roman"/>
          <w:color w:val="000000"/>
          <w:sz w:val="32"/>
          <w:szCs w:val="32"/>
        </w:rPr>
        <w:t>1</w:t>
      </w:r>
      <w:r>
        <w:rPr>
          <w:rFonts w:ascii="Times New Roman" w:eastAsia="方正仿宋_GBK" w:hAnsi="Times New Roman" w:hint="eastAsia"/>
          <w:color w:val="000000"/>
          <w:sz w:val="32"/>
          <w:szCs w:val="32"/>
        </w:rPr>
        <w:t>辆、应急保障用车1辆、执法执勤用车11辆。单位价值100万元以上的设备5台（套）。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年对福州长乐机场海关一般公共预算拨款项目</w:t>
      </w:r>
      <w:r>
        <w:rPr>
          <w:rFonts w:ascii="Times New Roman" w:eastAsia="方正仿宋_GBK" w:hAnsi="Times New Roman"/>
          <w:sz w:val="32"/>
          <w:szCs w:val="32"/>
        </w:rPr>
        <w:t>和</w:t>
      </w:r>
      <w:r>
        <w:rPr>
          <w:rFonts w:ascii="Times New Roman" w:eastAsia="方正仿宋_GBK" w:hAnsi="Times New Roman" w:hint="eastAsia"/>
          <w:sz w:val="32"/>
          <w:szCs w:val="32"/>
        </w:rPr>
        <w:t>政府性基金预算</w:t>
      </w:r>
      <w:r>
        <w:rPr>
          <w:rFonts w:ascii="Times New Roman" w:eastAsia="方正仿宋_GBK" w:hAnsi="Times New Roman"/>
          <w:sz w:val="32"/>
          <w:szCs w:val="32"/>
        </w:rPr>
        <w:t>项目</w:t>
      </w:r>
      <w:r>
        <w:rPr>
          <w:rFonts w:ascii="Times New Roman" w:eastAsia="方正仿宋_GBK" w:hAnsi="Times New Roman" w:hint="eastAsia"/>
          <w:sz w:val="32"/>
          <w:szCs w:val="32"/>
        </w:rPr>
        <w:t>全面实施绩效目标管理，一般公共预算当年拨款</w:t>
      </w:r>
      <w:r>
        <w:rPr>
          <w:rFonts w:ascii="Times New Roman" w:eastAsia="方正仿宋_GBK" w:hAnsi="Times New Roman"/>
          <w:sz w:val="32"/>
          <w:szCs w:val="32"/>
        </w:rPr>
        <w:t>3376.77</w:t>
      </w:r>
      <w:r>
        <w:rPr>
          <w:rFonts w:ascii="Times New Roman" w:eastAsia="方正仿宋_GBK" w:hAnsi="Times New Roman" w:hint="eastAsia"/>
          <w:sz w:val="32"/>
          <w:szCs w:val="32"/>
        </w:rPr>
        <w:t>万元，政府性基金预算</w:t>
      </w:r>
      <w:r>
        <w:rPr>
          <w:rFonts w:ascii="Times New Roman" w:eastAsia="方正仿宋_GBK" w:hAnsi="Times New Roman"/>
          <w:sz w:val="32"/>
          <w:szCs w:val="32"/>
        </w:rPr>
        <w:t>上年结转122万元，</w:t>
      </w:r>
      <w:r>
        <w:rPr>
          <w:rFonts w:ascii="Times New Roman" w:eastAsia="方正仿宋_GBK" w:hAnsi="Times New Roman" w:hint="eastAsia"/>
          <w:sz w:val="32"/>
          <w:szCs w:val="32"/>
        </w:rPr>
        <w:t>一级项目</w:t>
      </w:r>
      <w:r>
        <w:rPr>
          <w:rFonts w:ascii="Times New Roman" w:eastAsia="方正仿宋_GBK" w:hAnsi="Times New Roman"/>
          <w:sz w:val="32"/>
          <w:szCs w:val="32"/>
        </w:rPr>
        <w:t>7</w:t>
      </w:r>
      <w:r>
        <w:rPr>
          <w:rFonts w:ascii="Times New Roman" w:eastAsia="方正仿宋_GBK" w:hAnsi="Times New Roman" w:hint="eastAsia"/>
          <w:sz w:val="32"/>
          <w:szCs w:val="32"/>
        </w:rPr>
        <w:t>个，二级项目</w:t>
      </w:r>
      <w:r>
        <w:rPr>
          <w:rFonts w:ascii="Times New Roman" w:eastAsia="方正仿宋_GBK" w:hAnsi="Times New Roman"/>
          <w:sz w:val="32"/>
          <w:szCs w:val="32"/>
        </w:rPr>
        <w:t>8</w:t>
      </w:r>
      <w:r>
        <w:rPr>
          <w:rFonts w:ascii="Times New Roman" w:eastAsia="方正仿宋_GBK" w:hAnsi="Times New Roman" w:hint="eastAsia"/>
          <w:sz w:val="32"/>
          <w:szCs w:val="32"/>
        </w:rPr>
        <w:t>个。根据以前年度绩效评价结果，优化监管查验技术装备设备购建及能力保障专项等项目支出202</w:t>
      </w:r>
      <w:r>
        <w:rPr>
          <w:rFonts w:ascii="Times New Roman" w:eastAsia="方正仿宋_GBK" w:hAnsi="Times New Roman"/>
          <w:sz w:val="32"/>
          <w:szCs w:val="32"/>
        </w:rPr>
        <w:t>5</w:t>
      </w:r>
      <w:r>
        <w:rPr>
          <w:rFonts w:ascii="Times New Roman" w:eastAsia="方正仿宋_GBK" w:hAnsi="Times New Roman" w:hint="eastAsia"/>
          <w:sz w:val="32"/>
          <w:szCs w:val="32"/>
        </w:rPr>
        <w:t>年预算安排，并进一步改进管理、完善政策。</w:t>
      </w:r>
    </w:p>
    <w:p>
      <w:pPr>
        <w:spacing w:line="560" w:lineRule="exact"/>
        <w:ind w:firstLineChars="200" w:firstLine="640"/>
        <w:rPr>
          <w:rFonts w:ascii="方正楷体_GBK" w:eastAsia="方正楷体_GBK" w:cs="方正楷体_GBK"/>
          <w:b/>
          <w:bCs/>
          <w:sz w:val="32"/>
          <w:szCs w:val="32"/>
        </w:rPr>
      </w:pPr>
      <w:r>
        <w:rPr>
          <w:rFonts w:ascii="方正楷体_GBK" w:eastAsia="方正楷体_GBK" w:cs="方正楷体_GBK" w:hint="eastAsia"/>
          <w:b/>
          <w:bCs/>
          <w:sz w:val="32"/>
          <w:szCs w:val="32"/>
        </w:rPr>
        <w:t>（五）监管查验技术装备设备购建及能力保障专项项目情况。</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1．项目概述。</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海关作为国家进出境监督管理机关，依据《中华人民共和国海关法》等相关法律和行政法规，承担着口岸检查、检验、检疫、物流监控等基础职责，在守护国门安全、优化口岸营商环境、支持外贸稳增长等方面发挥不可或缺的作用。当前，全球突发传染病传入和国门生物安全风险不断加大、世界经济复苏乏力我国外贸面临压力增大等多重因素叠加，海关筑牢国门安全屏障、服务外贸经济发展面临的形势更为严峻，有限人力资源和不断增长的监管业务之间的矛盾日益突出，迫切需要加大智能监管装备投入和新技术应用，打造智慧监管体系，不断强化监管筑牢口岸安全防线，优化服务提升通关便利。为加强实际监管，加强安全准入，提高通关效率，特设立海关监管查验技术装备设备购建及能力保障专项，用于口岸监管查验设备购建及运维、口岸监管工作用犬、口岸反恐等方面工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2．立项依据。</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中华人民共和国海关法》以及《国务院关于促进外贸回稳向好的若干意见》（国发〔2016〕27号）、《国务院关于促进外贸增长若干措施的通知》（国发〔2017〕39号）、《优化口岸营商环境促进跨境贸易便利化工作方案》（国发〔2018〕37号）、《中共中央 国务院关于推进贸易高质量发展的指导意见》（国务院公报2019年第35号）等政策文件。</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3．实施主体。</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该项目由海关总署口岸监管司牵头组织实施，各直属海关和相关现场海关单位根据各自职责，具体开展监管查验技术设备购建运维及监管工作用犬、口岸反恐等各项工作。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4．实施方案。</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（1）主要内容。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①基于智慧海关建设发展需求，对在用监管查验设备的基础硬件进行升级改造，针对监管能力提升开展专项研究工作等。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②对已配备的集装箱/车辆检查系统（简称H986）、CT型行包/物品智审系统（简称CT机）等大型监管查验设备进行日常运行维护及故障维修。</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③根据各类监管场所的业务需求，增配必要的监管查验设备，主要包括CT机、毫米波人体检查设备、X光机以及单兵检查检验设备等。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④用于自有训练犬基地正常运转以及自养犬基本驯养支出。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⑤保障口岸反恐工作，用于反恐演练、购置反恐用品和材料等基本支出。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（2）实施方式。</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①财政下达项目预算。</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②海关总署口岸监管司根据预算管理有关规定，制定项目总署本级和下拨各关预算执行方案，明确预算执行明细项目、时间和责任人。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③海关总署口岸监管司牵头组织全国海关监管职能部门按照职责分工开展口岸监管业务，并会同财务、督审等部门和直属海关单位，指导、监督项目预算执行，加强项目预算管理，监控项目实施绩效，及时优化调整项目实施，确保项目目标顺利实现。</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（3）步骤计划。</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年1月—5月，根据财政预算批复，完善设备业务需求和采购招标文件，组织专家对业务需求进行论证；</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年5月－6月，下达集中采购目录范围内的采购任务单，审核确认采购招标文件；</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年6月—9月，开展招标采购；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年9月—12月，组织验收，做好付款以及合同履约等工作。保障集CT型行包/物品智审系统（简称CT机）等大型监管查验设备的正常运转；保障自有训练犬基地正常运转；保障口岸反恐工作正常开展。</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5．实施周期。</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该项目长期实施，本轮实施周期暂定为202</w:t>
      </w:r>
      <w:r>
        <w:rPr>
          <w:rFonts w:ascii="Times New Roman" w:eastAsia="方正仿宋_GBK" w:hAnsi="Times New Roman"/>
          <w:sz w:val="32"/>
          <w:szCs w:val="32"/>
        </w:rPr>
        <w:t>5</w:t>
      </w:r>
      <w:r>
        <w:rPr>
          <w:rFonts w:ascii="Times New Roman" w:eastAsia="方正仿宋_GBK" w:hAnsi="Times New Roman" w:hint="eastAsia"/>
          <w:sz w:val="32"/>
          <w:szCs w:val="32"/>
        </w:rPr>
        <w:t>年，根据实际情况做动态调整。</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6．年度预算安排。</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年拟安排该项目一般公共预算</w:t>
      </w:r>
      <w:r>
        <w:rPr>
          <w:rFonts w:ascii="Times New Roman" w:eastAsia="方正仿宋_GBK" w:hAnsi="Times New Roman"/>
          <w:sz w:val="32"/>
          <w:szCs w:val="32"/>
        </w:rPr>
        <w:t>70</w:t>
      </w:r>
      <w:r>
        <w:rPr>
          <w:rFonts w:ascii="Times New Roman" w:eastAsia="方正仿宋_GBK" w:hAnsi="Times New Roman" w:hint="eastAsia"/>
          <w:sz w:val="32"/>
          <w:szCs w:val="32"/>
        </w:rPr>
        <w:t>万元</w:t>
      </w:r>
      <w:r>
        <w:rPr>
          <w:rFonts w:ascii="Times New Roman" w:eastAsia="方正仿宋_GBK" w:hAnsi="Times New Roman"/>
          <w:sz w:val="32"/>
          <w:szCs w:val="32"/>
        </w:rPr>
        <w:t>。</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7．绩效目标和指标</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详见附表。</w:t>
      </w:r>
    </w:p>
    <w:p>
      <w:pP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r>
        <w:rPr>
          <w:rFonts w:ascii="Times New Roman" w:eastAsia="方正仿宋_GBK" w:hAnsi="Times New Roman" w:hint="eastAsia"/>
          <w:sz w:val="32"/>
          <w:szCs w:val="32"/>
        </w:rPr>
        <w:t xml:space="preserve">  </w:t>
      </w:r>
    </w:p>
    <w:tbl>
      <w:tblPr>
        <w:tblpPr w:leftFromText="180" w:rightFromText="180" w:vertAnchor="text" w:horzAnchor="page" w:tblpX="3486" w:tblpY="343"/>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70.00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70.00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做好口岸监管工作用犬的正常运行与维护，保障监管用犬正常购置/租用、饲养、初训与复训、考核、使用等；进一步提升进出口（境）监管查验能力，提高通关便利化水平。</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运维H986、CT机等大型监管查验装备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≥2（台/套）</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采购数量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≥3台</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工作犬截获违禁物的有效开箱率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H986、CT机等大型监管查验设备全年正常运行率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通关便利化水平</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群众满意度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rPr>
          <w:rFonts w:ascii="Times New Roman" w:eastAsia="方正仿宋_GBK" w:hAnsi="Times New Roman"/>
          <w:sz w:val="32"/>
          <w:szCs w:val="32"/>
        </w:rPr>
        <w:sectPr>
          <w:pgSz w:w="16838" w:h="11906" w:orient="landscape"/>
          <w:pgMar w:top="1440" w:right="1800" w:bottom="1440" w:left="1800" w:header="851" w:footer="992" w:gutter="0"/>
          <w:docGrid w:type="lines" w:linePitch="312" w:charSpace="0"/>
        </w:sect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八、“三公”经费</w:t>
      </w:r>
      <w:r>
        <w:rPr>
          <w:rFonts w:ascii="Times New Roman" w:eastAsia="方正仿宋_GBK" w:hAnsi="Times New Roman" w:hint="eastAsia"/>
          <w:sz w:val="32"/>
          <w:szCs w:val="32"/>
        </w:rPr>
        <w:t>：纳入中央财政预决算管理的“三公”经费，是指中央部门用财政拨款安排的公务用车购置及运行维护费和公务接待费。其中，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邮电费、差旅费、会议费、福利费、日常维修费、专用材料及一般设备购置费、办公用房水电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tblpPr w:leftFromText="180" w:rightFromText="180" w:vertAnchor="text" w:horzAnchor="page" w:tblpX="3276" w:tblpY="295"/>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70.00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70.00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做好口岸监管工作用犬的正常运行与维护，保障监管用犬正常购置/租用、饲养、初训与复训、考核、使用等；进一步提升进出口（境）监管查验能力，提高通关便利化水平。</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运维H986、CT机等大型监管查验装备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≥2（台/套）</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采购数量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≥3台</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工作犬截获违禁物的有效开箱率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H986、CT机等大型监管查验设备全年正常运行率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通关便利化水平</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群众满意度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tblpPr w:leftFromText="180" w:rightFromText="180" w:vertAnchor="text" w:horzAnchor="page" w:tblpX="3276" w:tblpY="45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8.58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8.58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目标1：巩固传染病疫情防控能力基础，完成年度外来传染病检测常规工作任务，保障国家公共卫生安全；</w:t>
            </w:r>
          </w:p>
          <w:p>
            <w:pPr>
              <w:rPr>
                <w:rFonts w:ascii="宋体" w:eastAsia="宋体" w:cs="宋体"/>
                <w:sz w:val="22"/>
              </w:rPr>
            </w:pPr>
            <w:r>
              <w:rPr>
                <w:rFonts w:ascii="宋体" w:eastAsia="宋体" w:cs="宋体"/>
                <w:sz w:val="22"/>
              </w:rPr>
              <w:t>目标2：对境内外传染病疫情风险进行监控，防范输入型传染病传入传出；</w:t>
            </w:r>
          </w:p>
          <w:p>
            <w:pPr>
              <w:rPr>
                <w:rFonts w:ascii="宋体" w:eastAsia="宋体" w:cs="宋体"/>
                <w:sz w:val="22"/>
              </w:rPr>
            </w:pPr>
            <w:r>
              <w:rPr>
                <w:rFonts w:ascii="宋体" w:eastAsia="宋体" w:cs="宋体"/>
                <w:sz w:val="22"/>
              </w:rPr>
              <w:t>目标3：对传染病防控相关知识进行普及性宣传，提高人民群众防范重大传染病的意识。</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应急物资配备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≥2批次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传染病防控宣传</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口岸传染病疫情风险评估</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口岸核心能力动态管理率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病媒生物监测覆盖率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《全国口岸食品安全抽检计划》年度完成率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口岸公共卫生安全宣传活动完成率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国际重大烈性传染病防控率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≥60%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tblpPr w:leftFromText="180" w:rightFromText="180" w:vertAnchor="text" w:horzAnchor="page" w:tblpX="3066" w:tblpY="295"/>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进一步促进出口农产品质量安全保障体系的完善，挖掘扩大农产品出口潜力，帮助优势特色农产品扩大出口。</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开展国门生物安全培训或宣传次数</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购置检验检疫试剂</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≥2批/次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制定外来有害生物监测计划次数</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制定进出境动物疫病监测计划次数</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≥98%</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进出境动物疫病监测计划完成率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检验检疫试剂验收合格率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国门生物安全宣传完成率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重大外来有害生物疫情防控有效性</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国门生物安全宣传工作普及度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关区检验检疫能力</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社会民众国门生物安全意识性</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重大突发检验检疫问题处理率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1835" w:type="dxa"/>
        <w:tblW w:w="1137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缉私警察业务费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目标1：保障福州长乐机场海关分局缉私警察日常办案需要，优先保障大要案办案需要，确保海关缉私工作正常开展；</w:t>
            </w:r>
          </w:p>
          <w:p>
            <w:pPr>
              <w:rPr>
                <w:rFonts w:ascii="宋体" w:eastAsia="宋体" w:cs="宋体"/>
                <w:sz w:val="22"/>
              </w:rPr>
            </w:pPr>
          </w:p>
          <w:p>
            <w:pPr>
              <w:rPr>
                <w:rFonts w:ascii="宋体" w:eastAsia="宋体" w:cs="宋体"/>
                <w:sz w:val="22"/>
              </w:rPr>
            </w:pPr>
            <w:r>
              <w:rPr>
                <w:rFonts w:ascii="宋体" w:eastAsia="宋体" w:cs="宋体"/>
                <w:sz w:val="22"/>
              </w:rPr>
              <w:t>目标2：通过开展情报调研、搜集与分析等工作，为打击走私提供线索支撑，提高精准查私能力；</w:t>
            </w:r>
          </w:p>
          <w:p>
            <w:pPr>
              <w:rPr>
                <w:rFonts w:ascii="宋体" w:eastAsia="宋体" w:cs="宋体"/>
                <w:sz w:val="22"/>
              </w:rPr>
            </w:pPr>
          </w:p>
          <w:p>
            <w:pPr>
              <w:rPr>
                <w:rFonts w:ascii="宋体" w:eastAsia="宋体" w:cs="宋体"/>
                <w:sz w:val="22"/>
              </w:rPr>
            </w:pPr>
            <w:r>
              <w:rPr>
                <w:rFonts w:ascii="宋体" w:eastAsia="宋体" w:cs="宋体"/>
                <w:sz w:val="22"/>
              </w:rPr>
              <w:t>目标3：做好禁毒及缉毒工作，保护人民群众生命财产安全。</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保障缉私警察人数（人）</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≥10人</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保障缉私机构数（个）</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刑事案件立案数（件）</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≥1件</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重要情报处置率（%）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刑事案件结案率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海关缉私工作正常开展保障率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1730" w:type="dxa"/>
        <w:tblW w:w="1137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2.91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2.91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目标1：通过组织开展缉私检查等相关工作，有效打击违法范围最活动，把好国门安全关；</w:t>
            </w:r>
          </w:p>
          <w:p>
            <w:pPr>
              <w:rPr>
                <w:rFonts w:ascii="宋体" w:eastAsia="宋体" w:cs="宋体"/>
                <w:sz w:val="22"/>
              </w:rPr>
            </w:pPr>
            <w:r>
              <w:rPr>
                <w:rFonts w:ascii="宋体" w:eastAsia="宋体" w:cs="宋体"/>
                <w:sz w:val="22"/>
              </w:rPr>
              <w:t>目标2：通过购买第三方仓储等服务，保障海关开展缉私工作的高效开展；</w:t>
            </w:r>
          </w:p>
          <w:p>
            <w:pPr>
              <w:rPr>
                <w:rFonts w:ascii="宋体" w:eastAsia="宋体" w:cs="宋体"/>
                <w:sz w:val="22"/>
              </w:rPr>
            </w:pPr>
            <w:r>
              <w:rPr>
                <w:rFonts w:ascii="宋体" w:eastAsia="宋体" w:cs="宋体"/>
                <w:sz w:val="22"/>
              </w:rPr>
              <w:t>目标3：为福州长乐机场海关警员提供有力的设备保障，进一步做好缉私大要案侦办工作，维持打击走私高压态势，有效震慑走私犯罪行为；</w:t>
            </w:r>
          </w:p>
          <w:p>
            <w:pPr>
              <w:rPr>
                <w:rFonts w:ascii="宋体" w:eastAsia="宋体" w:cs="宋体"/>
                <w:sz w:val="22"/>
              </w:rPr>
            </w:pPr>
            <w:r>
              <w:rPr>
                <w:rFonts w:ascii="宋体" w:eastAsia="宋体" w:cs="宋体"/>
                <w:sz w:val="22"/>
              </w:rPr>
              <w:t>目标4：通过开展和缉私相关的能力提升活动，提高精准查私能力，确保海关缉私工作正常开展,进一步维护社会稳定，保障国家安全；</w:t>
            </w:r>
          </w:p>
          <w:p>
            <w:pPr>
              <w:rPr>
                <w:rFonts w:ascii="宋体" w:eastAsia="宋体" w:cs="宋体"/>
                <w:sz w:val="22"/>
              </w:rPr>
            </w:pPr>
            <w:r>
              <w:rPr>
                <w:rFonts w:ascii="宋体" w:eastAsia="宋体" w:cs="宋体"/>
                <w:sz w:val="22"/>
              </w:rPr>
              <w:t>目标5：通过开展情报调研、搜集与分析等工作，为打击走私提供线索支撑，提高精准查私能力。</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委托保管涉案财物时长</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≥300天</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保障涉案仓库数量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缉私业务资金保障率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≥98%</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打击毒品、武器、洋垃圾等走私行为</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涉案物品处置率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1730" w:type="dxa"/>
        <w:tblW w:w="1137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102.88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102.88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各类装备、设备及网络、信息系统的运维，提高海关监管工作效率，缓解海关人力资源不足与日益增长的监管工作量之间的矛盾，提升海关监管科技含量，提升海关装备设备现代化、科技化水平，优化海关缉监管与服务；</w:t>
            </w:r>
          </w:p>
          <w:p>
            <w:pPr>
              <w:rPr>
                <w:rFonts w:ascii="宋体" w:eastAsia="宋体" w:cs="宋体"/>
                <w:sz w:val="22"/>
              </w:rPr>
            </w:pPr>
            <w:r>
              <w:rPr>
                <w:rFonts w:ascii="宋体" w:eastAsia="宋体" w:cs="宋体"/>
                <w:sz w:val="22"/>
              </w:rPr>
              <w:t>目标2：通过对（节能、办公生活设施）改造，保障福州长乐机场海关单位日常办公有序开展。</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运维设备数量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≥5台/套</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运维办公或监管场所</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运维场所可用率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设备维修及时率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海关核心业务基础保障率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设备使用人员满意度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tblpPr w:leftFromText="180" w:rightFromText="180" w:vertAnchor="text" w:horzAnchor="page" w:tblpX="3171" w:tblpY="295"/>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126.53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126.53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目标1：保障关区行政执法技术支持的能力储备和其他支出需求，提升全国海关进出境商品检验、动植物检疫、卫生检疫和应对技术性贸易措施的检测能力和水平。</w:t>
            </w:r>
          </w:p>
          <w:p>
            <w:pPr>
              <w:rPr>
                <w:rFonts w:ascii="宋体" w:eastAsia="宋体" w:cs="宋体"/>
                <w:sz w:val="22"/>
              </w:rPr>
            </w:pPr>
            <w:r>
              <w:rPr>
                <w:rFonts w:ascii="宋体" w:eastAsia="宋体" w:cs="宋体"/>
                <w:sz w:val="22"/>
              </w:rPr>
              <w:t>目标2：通过对关区技术性贸易壁垒的深入研究，促进我国对外贸易的顺利发展，遏制国外不合格的商品及产品流入国内，保护国家权益和人民的健康。</w:t>
            </w:r>
          </w:p>
          <w:p>
            <w:pPr>
              <w:rPr>
                <w:rFonts w:ascii="宋体" w:eastAsia="宋体" w:cs="宋体"/>
                <w:sz w:val="22"/>
              </w:rPr>
            </w:pPr>
            <w:r>
              <w:rPr>
                <w:rFonts w:ascii="宋体" w:eastAsia="宋体" w:cs="宋体"/>
                <w:sz w:val="22"/>
              </w:rPr>
              <w:t>目标3：通关聘用临时人员、印刷业务单证、购置劳保耗材、购置海关制服及查验服、公务用车运行维护费等，保障海关行政执法工作顺利开展。</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政府采购率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业务单证印刷数量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≥1000份</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检验检疫业务宣传</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检验检疫重大风险监控</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保障业务现场数量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临聘人员数量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≥30名</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购置公务用车数量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1.00辆</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执法人员持证上岗率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因保障能力造成的执法差错率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空白单证配发率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公务用车可用率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服务企业（抽样）满意度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tblpPr w:leftFromText="180" w:rightFromText="180" w:vertAnchor="text" w:horzAnchor="page" w:tblpX="3066" w:tblpY="607"/>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350"/>
      </w:tblGrid>
      <w:tr>
        <w:trPr>
          <w:trHeight w:val="704"/>
        </w:trPr>
        <w:tc>
          <w:tcPr>
            <w:tcW w:w="113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13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3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口岸监管查验设备更新项目</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中华人民共和国福州长乐机场海关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122.00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122.00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107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通过加强口岸邮快件和行人核辐射监测监控，货物、行李和包裹的查验执法等设施建设，进一步筑牢国门防线，提升查验能力，保障国门生物安全和生态安全。</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设备购置成本</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≤122万元</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设备采购数量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≥3台</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海关核心业务基础保障能力</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好</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使用人员满意度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sectPr>
      <w:pgSz w:w="16838" w:h="11906" w:orient="landscape"/>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r>
      <mc:AlternateContent>
        <mc:Choice Requires="wps">
          <w:drawing>
            <wp:anchor distT="0" distB="0" distL="114297" distR="114297" simplePos="0" relativeHeight="20" behindDoc="0" locked="0" layoutInCell="1" hidden="0" allowOverlap="1">
              <wp:simplePos x="0" y="0"/>
              <wp:positionH relativeFrom="margin">
                <wp:align>center</wp:align>
              </wp:positionH>
              <wp:positionV relativeFrom="paragraph">
                <wp:posOffset>0</wp:posOffset>
              </wp:positionV>
              <wp:extent cx="128777" cy="155193"/>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128777" cy="155193"/>
                      </a:xfrm>
                      <a:prstGeom prst="rect"/>
                      <a:noFill/>
                      <a:ln w="9525" cmpd="sng" cap="flat">
                        <a:noFill/>
                        <a:prstDash val="solid"/>
                        <a:miter/>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43</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o:spid="_x0000_s6" filled="f" stroked="f" style="position:absolute;margin-left:0.0pt;margin-top:0.0pt;width:10.1399975pt;height:12.219998pt;z-index:20;mso-position-horizontal:center;mso-position-horizontal-relative:margin;mso-position-vertical:absolute;mso-wrap-distance-left:8.99983pt;mso-wrap-distance-right:8.99983pt;mso-wrap-style:none;">
              <v:stroke color="#000000"/>
              <v:textbox id="853"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43</w:t>
                    </w:r>
                    <w:r>
                      <w:rPr>
                        <w:sz w:val="20"/>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样式 10 磅"/>
    <w:pPr>
      <w:widowControl w:val="0"/>
      <w:jc w:val="both"/>
    </w:pPr>
    <w:rPr>
      <w:rFonts w:ascii="Calibri" w:eastAsia="宋体" w:cs="Arial" w:hAnsi="Calibri"/>
      <w:kern w:val="2"/>
      <w:sz w:val="21"/>
      <w:szCs w:val="22"/>
      <w:lang w:val="en-US" w:eastAsia="zh-CN" w:bidi="ar-SA"/>
    </w:rPr>
  </w:style>
  <w:style w:type="paragraph" w:customStyle="1" w:styleId="31">
    <w:name w:val="样式 3 10 磅"/>
    <w:pPr>
      <w:widowControl w:val="0"/>
      <w:jc w:val="both"/>
    </w:pPr>
    <w:rPr>
      <w:rFonts w:ascii="Calibri" w:eastAsia="宋体" w:cs="Arial" w:hAnsi="Calibri"/>
      <w:kern w:val="2"/>
      <w:sz w:val="21"/>
      <w:szCs w:val="22"/>
      <w:lang w:val="en-US" w:eastAsia="zh-CN" w:bidi="ar-SA"/>
    </w:rPr>
  </w:style>
  <w:style w:type="paragraph" w:customStyle="1" w:styleId="32">
    <w:name w:val="样式 5 10 磅"/>
    <w:pPr>
      <w:widowControl w:val="0"/>
      <w:jc w:val="both"/>
    </w:pPr>
    <w:rPr>
      <w:rFonts w:ascii="Calibri" w:eastAsia="宋体" w:cs="Arial" w:hAnsi="Calibri"/>
      <w:kern w:val="2"/>
      <w:sz w:val="21"/>
      <w:szCs w:val="22"/>
      <w:lang w:val="en-US" w:eastAsia="zh-CN" w:bidi="ar-SA"/>
    </w:rPr>
  </w:style>
  <w:style w:type="paragraph" w:customStyle="1" w:styleId="33">
    <w:name w:val="样式 6 10 磅"/>
    <w:pPr>
      <w:widowControl w:val="0"/>
      <w:jc w:val="both"/>
    </w:pPr>
    <w:rPr>
      <w:rFonts w:ascii="Calibri" w:eastAsia="宋体" w:cs="Arial" w:hAnsi="Calibri"/>
      <w:kern w:val="2"/>
      <w:sz w:val="21"/>
      <w:szCs w:val="22"/>
      <w:lang w:val="en-US" w:eastAsia="zh-CN" w:bidi="ar-SA"/>
    </w:rPr>
  </w:style>
  <w:style w:type="paragraph" w:customStyle="1" w:styleId="34">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35">
    <w:name w:val="样式 8 10 磅"/>
    <w:pPr>
      <w:widowControl w:val="0"/>
      <w:jc w:val="both"/>
    </w:pPr>
    <w:rPr>
      <w:rFonts w:ascii="Calibri" w:eastAsia="宋体" w:cs="Arial" w:hAnsi="Calibri"/>
      <w:kern w:val="2"/>
      <w:sz w:val="21"/>
      <w:szCs w:val="22"/>
      <w:lang w:val="en-US" w:eastAsia="zh-CN" w:bidi="ar-SA"/>
    </w:rPr>
  </w:style>
  <w:style w:type="paragraph" w:customStyle="1" w:styleId="36">
    <w:name w:val="样式 9 10 磅"/>
    <w:pPr>
      <w:widowControl w:val="0"/>
      <w:jc w:val="both"/>
    </w:pPr>
    <w:rPr>
      <w:rFonts w:ascii="Calibri" w:eastAsia="宋体" w:cs="Arial" w:hAnsi="Calibri"/>
      <w:kern w:val="2"/>
      <w:sz w:val="21"/>
      <w:szCs w:val="22"/>
      <w:lang w:val="en-US" w:eastAsia="zh-CN" w:bidi="ar-SA"/>
    </w:rPr>
  </w:style>
  <w:style w:type="paragraph" w:customStyle="1" w:styleId="37">
    <w:name w:val="样式 10 10 磅"/>
    <w:pPr>
      <w:widowControl w:val="0"/>
      <w:jc w:val="both"/>
    </w:pPr>
    <w:rPr>
      <w:rFonts w:ascii="Calibri" w:eastAsia="宋体" w:cs="Arial" w:hAnsi="Calibri"/>
      <w:kern w:val="2"/>
      <w:sz w:val="21"/>
      <w:szCs w:val="22"/>
      <w:lang w:val="en-US" w:eastAsia="zh-CN" w:bidi="ar-SA"/>
    </w:rPr>
  </w:style>
  <w:style w:type="paragraph" w:customStyle="1" w:styleId="38">
    <w:name w:val="样式 11 10 磅"/>
    <w:pPr>
      <w:widowControl w:val="0"/>
      <w:jc w:val="both"/>
    </w:pPr>
    <w:rPr>
      <w:rFonts w:ascii="Calibri" w:eastAsia="宋体" w:cs="Arial" w:hAnsi="Calibri"/>
      <w:kern w:val="2"/>
      <w:sz w:val="21"/>
      <w:szCs w:val="22"/>
      <w:lang w:val="en-US" w:eastAsia="zh-CN" w:bidi="ar-SA"/>
    </w:rPr>
  </w:style>
  <w:style w:type="paragraph" w:customStyle="1" w:styleId="143">
    <w:name w:val="样式 12 10 磅"/>
    <w:pPr>
      <w:widowControl w:val="0"/>
      <w:jc w:val="both"/>
    </w:pPr>
    <w:rPr>
      <w:rFonts w:ascii="Calibri" w:eastAsia="宋体" w:cs="Arial" w:hAnsi="Calibri"/>
      <w:kern w:val="2"/>
      <w:sz w:val="21"/>
      <w:szCs w:val="22"/>
      <w:lang w:val="en-US" w:eastAsia="zh-CN" w:bidi="ar-SA"/>
    </w:rPr>
  </w:style>
  <w:style w:type="paragraph" w:customStyle="1" w:styleId="144">
    <w:name w:val="样式 13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8.bmp"/><Relationship Id="rId5" Type="http://schemas.openxmlformats.org/officeDocument/2006/relationships/image" Target="media/11.bmp"/><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516</TotalTime>
  <Application>Yozo_Office</Application>
  <Pages>54</Pages>
  <Words>12957</Words>
  <Characters>16713</Characters>
  <Lines>3127</Lines>
  <Paragraphs>1771</Paragraphs>
  <CharactersWithSpaces>17918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刘梦瑜</cp:lastModifiedBy>
  <cp:revision>2</cp:revision>
  <dcterms:created xsi:type="dcterms:W3CDTF">2024-04-25T02:59:00Z</dcterms:created>
  <dcterms:modified xsi:type="dcterms:W3CDTF">2025-04-22T03:39:44Z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