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rFonts w:ascii="Times New Roman" w:hAnsi="Times New Roman"/>
          <w:sz w:val="48"/>
          <w:szCs w:val="48"/>
        </w:rPr>
      </w:pPr>
      <w:bookmarkStart w:id="0" w:name="_GoBack"/>
      <w:bookmarkEnd w:id="0"/>
      <w:r>
        <w:rPr>
          <w:rFonts w:ascii="Times New Roman" w:hAnsi="Times New Roman" w:hint="eastAsia"/>
          <w:sz w:val="48"/>
          <w:szCs w:val="48"/>
        </w:rPr>
        <w:t xml:space="preserve">       </w:t>
      </w: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p>
    <w:p>
      <w:pPr>
        <w:jc w:val="center"/>
        <w:rPr>
          <w:rFonts w:ascii="Times New Roman" w:hAnsi="Times New Roman"/>
          <w:sz w:val="48"/>
          <w:szCs w:val="48"/>
        </w:rPr>
      </w:pPr>
      <w:r>
        <w:rPr>
          <w:rFonts w:ascii="Times New Roman" w:hAnsi="Times New Roman" w:hint="eastAsia"/>
          <w:sz w:val="48"/>
          <w:szCs w:val="48"/>
        </w:rPr>
        <w:t xml:space="preserve">                 </w:t>
      </w: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jc w:val="center"/>
        <w:rPr>
          <w:rFonts w:ascii="Times New Roman" w:hAnsi="Times New Roman"/>
          <w:sz w:val="48"/>
          <w:szCs w:val="48"/>
        </w:rPr>
      </w:pPr>
      <w:r>
        <w:rPr>
          <w:rFonts w:ascii="Times New Roman" w:hAnsi="Times New Roman" w:hint="eastAsia"/>
          <w:sz w:val="48"/>
          <w:szCs w:val="48"/>
        </w:rPr>
        <w:t xml:space="preserve">                   </w:t>
      </w:r>
    </w:p>
    <w:p>
      <w:pPr>
        <w:jc w:val="center"/>
        <w:rPr>
          <w:rFonts w:ascii="Times New Roman" w:hAnsi="Times New Roman"/>
          <w:sz w:val="56"/>
          <w:szCs w:val="72"/>
        </w:rPr>
      </w:pPr>
    </w:p>
    <w:p>
      <w:pPr>
        <w:jc w:val="center"/>
        <w:rPr>
          <w:rFonts w:ascii="Times New Roman" w:hAnsi="Times New Roman"/>
          <w:sz w:val="56"/>
          <w:szCs w:val="72"/>
        </w:rPr>
      </w:pPr>
      <w:r>
        <w:rPr>
          <w:rFonts w:ascii="Times New Roman" w:hAnsi="Times New Roman" w:hint="eastAsia"/>
          <w:sz w:val="56"/>
          <w:szCs w:val="72"/>
        </w:rPr>
        <w:t>福州海关信息中心部门预算</w:t>
      </w:r>
    </w:p>
    <w:p>
      <w:pPr>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sz w:val="44"/>
          <w:szCs w:val="44"/>
        </w:rPr>
        <w:t>5</w:t>
      </w:r>
      <w:r>
        <w:rPr>
          <w:rFonts w:ascii="Times New Roman" w:hAnsi="Times New Roman" w:hint="eastAsia"/>
          <w:sz w:val="44"/>
          <w:szCs w:val="44"/>
        </w:rPr>
        <w:t>年</w:t>
      </w:r>
    </w:p>
    <w:p>
      <w:pPr>
        <w:jc w:val="center"/>
        <w:rPr>
          <w:rFonts w:ascii="Times New Roman" w:hAnsi="Times New Roman"/>
          <w:sz w:val="44"/>
          <w:szCs w:val="44"/>
        </w:rPr>
      </w:pPr>
      <w:r>
        <w:rPr>
          <w:rFonts w:ascii="Times New Roman" w:hAnsi="Times New Roman" w:hint="eastAsia"/>
          <w:sz w:val="44"/>
          <w:szCs w:val="44"/>
        </w:rPr>
        <w:t xml:space="preserve"> </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sectPr>
          <w:pgSz w:w="11906" w:h="16838"/>
          <w:pgMar w:top="1440" w:right="1800" w:bottom="1440" w:left="1800" w:header="851" w:footer="992" w:gutter="0"/>
          <w:pgNumType w:start="0"/>
          <w:docGrid w:type="lines" w:linePitch="312" w:charSpace="0"/>
        </w:sectPr>
      </w:pPr>
    </w:p>
    <w:p>
      <w:pPr>
        <w:jc w:val="center"/>
        <w:rPr>
          <w:rFonts w:ascii="Times New Roman" w:cs="Times New Roman" w:hAnsi="Times New Roman"/>
          <w:b/>
          <w:sz w:val="84"/>
          <w:szCs w:val="84"/>
        </w:rPr>
      </w:pPr>
      <w:r>
        <w:rPr>
          <w:rFonts w:ascii="Times New Roman" w:eastAsia="方正仿宋_GBK" w:hAnsi="Times New Roman"/>
          <w:sz w:val="84"/>
          <w:szCs w:val="84"/>
        </w:rPr>
        <w:tab/>
      </w:r>
      <w:r>
        <w:rPr>
          <w:rFonts w:ascii="Times New Roman" w:hAnsi="Times New Roman" w:hint="eastAsia"/>
          <w:b/>
          <w:sz w:val="84"/>
          <w:szCs w:val="84"/>
        </w:rPr>
        <w:t>目</w:t>
      </w:r>
      <w:r>
        <w:rPr>
          <w:rFonts w:ascii="Times New Roman" w:hAnsi="Times New Roman"/>
          <w:b/>
          <w:sz w:val="84"/>
          <w:szCs w:val="84"/>
        </w:rPr>
        <w:t xml:space="preserve">  </w:t>
      </w:r>
      <w:r>
        <w:rPr>
          <w:rFonts w:ascii="Times New Roman" w:hAnsi="Times New Roman" w:hint="eastAsia"/>
          <w:b/>
          <w:sz w:val="84"/>
          <w:szCs w:val="84"/>
        </w:rPr>
        <w:t>录</w:t>
      </w:r>
    </w:p>
    <w:p>
      <w:pPr>
        <w:jc w:val="cente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44"/>
          <w:szCs w:val="44"/>
        </w:rPr>
      </w:pPr>
      <w:r>
        <w:rPr>
          <w:rFonts w:ascii="Times New Roman" w:hAnsi="Times New Roman" w:hint="eastAsia"/>
          <w:b/>
          <w:sz w:val="44"/>
          <w:szCs w:val="44"/>
        </w:rPr>
        <w:t>第一部分  福州海关信息中心概况</w:t>
      </w:r>
    </w:p>
    <w:p>
      <w:pPr>
        <w:rPr>
          <w:rFonts w:ascii="Times New Roman" w:hAnsi="Times New Roman"/>
          <w:sz w:val="36"/>
          <w:szCs w:val="36"/>
        </w:rPr>
      </w:pPr>
      <w:r>
        <w:rPr>
          <w:rFonts w:ascii="Times New Roman" w:hAnsi="Times New Roman" w:hint="eastAsia"/>
          <w:sz w:val="36"/>
          <w:szCs w:val="36"/>
        </w:rPr>
        <w:t>一、主要职能</w:t>
      </w:r>
    </w:p>
    <w:p>
      <w:pPr>
        <w:rPr>
          <w:rFonts w:ascii="Times New Roman" w:hAnsi="Times New Roman"/>
          <w:sz w:val="36"/>
          <w:szCs w:val="36"/>
        </w:rPr>
      </w:pPr>
      <w:r>
        <w:rPr>
          <w:rFonts w:ascii="Times New Roman" w:hAnsi="Times New Roman" w:hint="eastAsia"/>
          <w:sz w:val="36"/>
          <w:szCs w:val="36"/>
        </w:rPr>
        <w:t xml:space="preserve">二、海关系统单位构成情况 </w:t>
      </w:r>
    </w:p>
    <w:p>
      <w:pPr>
        <w:rPr>
          <w:rFonts w:ascii="Times New Roman" w:hAnsi="Times New Roman"/>
          <w:b/>
          <w:sz w:val="44"/>
          <w:szCs w:val="44"/>
        </w:rPr>
      </w:pPr>
      <w:r>
        <w:rPr>
          <w:rFonts w:ascii="Times New Roman" w:hAnsi="Times New Roman" w:hint="eastAsia"/>
          <w:b/>
          <w:sz w:val="44"/>
          <w:szCs w:val="44"/>
        </w:rPr>
        <w:t xml:space="preserve">第二部分  </w:t>
      </w:r>
      <w:r>
        <w:rPr>
          <w:rFonts w:ascii="Times New Roman" w:hAnsi="Times New Roman"/>
          <w:b/>
          <w:sz w:val="44"/>
          <w:szCs w:val="44"/>
        </w:rPr>
        <w:t>2025</w:t>
      </w:r>
      <w:r>
        <w:rPr>
          <w:rFonts w:ascii="Times New Roman" w:hAnsi="Times New Roman" w:hint="eastAsia"/>
          <w:b/>
          <w:sz w:val="44"/>
          <w:szCs w:val="44"/>
        </w:rPr>
        <w:t>年部门预算表</w:t>
      </w:r>
    </w:p>
    <w:p>
      <w:pPr>
        <w:rPr>
          <w:rFonts w:ascii="Times New Roman" w:hAnsi="Times New Roman"/>
          <w:color w:val="3366FF"/>
          <w:sz w:val="36"/>
          <w:szCs w:val="36"/>
        </w:rPr>
      </w:pPr>
      <w:r>
        <w:rPr>
          <w:rFonts w:ascii="Times New Roman" w:hAnsi="Times New Roman" w:hint="eastAsia"/>
          <w:sz w:val="36"/>
          <w:szCs w:val="36"/>
        </w:rPr>
        <w:t>一、</w:t>
      </w:r>
      <w:r>
        <w:rPr>
          <w:rFonts w:ascii="Times New Roman" w:hAnsi="Times New Roman"/>
          <w:sz w:val="36"/>
          <w:szCs w:val="36"/>
        </w:rPr>
        <w:t>部门</w:t>
      </w:r>
      <w:r>
        <w:rPr>
          <w:rFonts w:ascii="Times New Roman" w:hAnsi="Times New Roman" w:hint="eastAsia"/>
          <w:sz w:val="36"/>
          <w:szCs w:val="36"/>
        </w:rPr>
        <w:t>收支总表</w:t>
      </w:r>
    </w:p>
    <w:p>
      <w:pPr>
        <w:pStyle w:val="28"/>
        <w:rPr>
          <w:sz w:val="36"/>
          <w:szCs w:val="36"/>
        </w:rPr>
      </w:pPr>
      <w:r>
        <w:rPr>
          <w:rFonts w:hint="eastAsia"/>
          <w:sz w:val="36"/>
          <w:szCs w:val="36"/>
        </w:rPr>
        <w:t>二、部门收入总表</w:t>
      </w:r>
    </w:p>
    <w:p>
      <w:pPr>
        <w:pStyle w:val="27"/>
        <w:rPr>
          <w:sz w:val="36"/>
          <w:szCs w:val="36"/>
        </w:rPr>
      </w:pPr>
      <w:r>
        <w:rPr>
          <w:rFonts w:hint="eastAsia"/>
          <w:sz w:val="36"/>
          <w:szCs w:val="36"/>
        </w:rPr>
        <w:t>三、部门支出总表</w:t>
      </w:r>
    </w:p>
    <w:p>
      <w:pPr>
        <w:rPr>
          <w:rFonts w:ascii="Times New Roman" w:hAnsi="Times New Roman"/>
          <w:sz w:val="36"/>
          <w:szCs w:val="36"/>
        </w:rPr>
      </w:pPr>
      <w:r>
        <w:rPr>
          <w:rFonts w:ascii="Times New Roman" w:hAnsi="Times New Roman" w:hint="eastAsia"/>
          <w:sz w:val="36"/>
          <w:szCs w:val="36"/>
        </w:rPr>
        <w:t>四、</w:t>
      </w:r>
      <w:r>
        <w:rPr>
          <w:rFonts w:ascii="Times New Roman" w:hAnsi="Times New Roman"/>
          <w:sz w:val="36"/>
          <w:szCs w:val="36"/>
        </w:rPr>
        <w:t>财政拨款收支总表</w:t>
      </w:r>
    </w:p>
    <w:p>
      <w:pPr>
        <w:rPr>
          <w:rFonts w:ascii="Times New Roman" w:hAnsi="Times New Roman"/>
          <w:sz w:val="36"/>
          <w:szCs w:val="36"/>
        </w:rPr>
      </w:pPr>
      <w:r>
        <w:rPr>
          <w:rFonts w:ascii="Times New Roman" w:hAnsi="Times New Roman" w:hint="eastAsia"/>
          <w:sz w:val="36"/>
          <w:szCs w:val="36"/>
        </w:rPr>
        <w:t>五、</w:t>
      </w:r>
      <w:r>
        <w:rPr>
          <w:rFonts w:ascii="Times New Roman" w:hAnsi="Times New Roman"/>
          <w:sz w:val="36"/>
          <w:szCs w:val="36"/>
        </w:rPr>
        <w:t>一般公共预算支出表</w:t>
      </w:r>
    </w:p>
    <w:p>
      <w:pPr>
        <w:rPr>
          <w:rFonts w:ascii="Times New Roman" w:hAnsi="Times New Roman"/>
          <w:color w:val="339966"/>
          <w:sz w:val="36"/>
          <w:szCs w:val="36"/>
        </w:rPr>
      </w:pPr>
      <w:r>
        <w:rPr>
          <w:rFonts w:ascii="Times New Roman" w:hAnsi="Times New Roman" w:hint="eastAsia"/>
          <w:sz w:val="36"/>
          <w:szCs w:val="36"/>
        </w:rPr>
        <w:t>六、</w:t>
      </w:r>
      <w:r>
        <w:rPr>
          <w:rFonts w:ascii="Times New Roman" w:hAnsi="Times New Roman"/>
          <w:sz w:val="36"/>
          <w:szCs w:val="36"/>
        </w:rPr>
        <w:t>一般公共预算基本支出表</w:t>
      </w:r>
    </w:p>
    <w:p>
      <w:pPr>
        <w:rPr>
          <w:rFonts w:ascii="Times New Roman" w:hAnsi="Times New Roman"/>
          <w:sz w:val="36"/>
          <w:szCs w:val="36"/>
        </w:rPr>
      </w:pPr>
      <w:r>
        <w:rPr>
          <w:rFonts w:ascii="Times New Roman" w:hAnsi="Times New Roman" w:hint="eastAsia"/>
          <w:sz w:val="36"/>
          <w:szCs w:val="36"/>
        </w:rPr>
        <w:t>七、</w:t>
      </w:r>
      <w:r>
        <w:rPr>
          <w:rFonts w:ascii="Times New Roman" w:hAnsi="Times New Roman"/>
          <w:sz w:val="36"/>
          <w:szCs w:val="36"/>
        </w:rPr>
        <w:t>政府性基金预算支出表</w:t>
      </w:r>
    </w:p>
    <w:p>
      <w:pPr>
        <w:rPr>
          <w:rFonts w:ascii="Times New Roman" w:hAnsi="Times New Roman"/>
          <w:sz w:val="36"/>
          <w:szCs w:val="36"/>
        </w:rPr>
      </w:pPr>
      <w:r>
        <w:rPr>
          <w:rFonts w:ascii="Times New Roman" w:hAnsi="Times New Roman" w:hint="eastAsia"/>
          <w:sz w:val="36"/>
          <w:szCs w:val="36"/>
        </w:rPr>
        <w:t>八、</w:t>
      </w:r>
      <w:r>
        <w:rPr>
          <w:rFonts w:ascii="Times New Roman" w:hAnsi="Times New Roman"/>
          <w:sz w:val="36"/>
          <w:szCs w:val="36"/>
        </w:rPr>
        <w:t>国有资本经营预算支出表</w:t>
      </w:r>
    </w:p>
    <w:p>
      <w:pPr>
        <w:rPr>
          <w:rFonts w:ascii="Times New Roman" w:hAnsi="Times New Roman"/>
          <w:sz w:val="36"/>
          <w:szCs w:val="36"/>
        </w:rPr>
      </w:pPr>
      <w:r>
        <w:rPr>
          <w:rFonts w:ascii="Times New Roman" w:hAnsi="Times New Roman"/>
          <w:sz w:val="36"/>
          <w:szCs w:val="36"/>
        </w:rPr>
        <w:t>九、</w:t>
      </w:r>
      <w:r>
        <w:rPr>
          <w:rFonts w:ascii="Times New Roman" w:hAnsi="Times New Roman" w:hint="eastAsia"/>
          <w:sz w:val="36"/>
          <w:szCs w:val="36"/>
        </w:rPr>
        <w:t>财政拨款预算“三公”经费支出表</w:t>
      </w:r>
    </w:p>
    <w:p>
      <w:pPr>
        <w:ind w:left="2164" w:hangingChars="492" w:hanging="2164"/>
        <w:rPr>
          <w:rFonts w:ascii="Times New Roman" w:hAnsi="Times New Roman"/>
          <w:b/>
          <w:sz w:val="44"/>
          <w:szCs w:val="44"/>
        </w:rPr>
      </w:pPr>
      <w:r>
        <w:rPr>
          <w:rFonts w:ascii="Times New Roman" w:hAnsi="Times New Roman" w:hint="eastAsia"/>
          <w:b/>
          <w:sz w:val="44"/>
          <w:szCs w:val="44"/>
        </w:rPr>
        <w:t xml:space="preserve">第三部分  </w:t>
      </w:r>
      <w:r>
        <w:rPr>
          <w:rFonts w:ascii="Times New Roman" w:hAnsi="Times New Roman"/>
          <w:b/>
          <w:sz w:val="44"/>
          <w:szCs w:val="44"/>
        </w:rPr>
        <w:t>2025</w:t>
      </w:r>
      <w:r>
        <w:rPr>
          <w:rFonts w:ascii="Times New Roman" w:hAnsi="Times New Roman" w:hint="eastAsia"/>
          <w:b/>
          <w:sz w:val="44"/>
          <w:szCs w:val="44"/>
        </w:rPr>
        <w:t>年部门预算情况说明</w:t>
      </w:r>
    </w:p>
    <w:p>
      <w:pPr>
        <w:rPr>
          <w:rFonts w:ascii="Times New Roman" w:hAnsi="Times New Roman"/>
          <w:b/>
          <w:sz w:val="44"/>
          <w:szCs w:val="44"/>
        </w:rPr>
      </w:pPr>
      <w:r>
        <w:rPr>
          <w:rFonts w:ascii="Times New Roman" w:hAnsi="Times New Roman" w:hint="eastAsia"/>
          <w:b/>
          <w:sz w:val="44"/>
          <w:szCs w:val="44"/>
        </w:rPr>
        <w:t>第四部分  名词解释</w:t>
      </w:r>
    </w:p>
    <w:p>
      <w:pPr>
        <w:rPr>
          <w:rFonts w:ascii="Times New Roman" w:hAnsi="Times New Roman"/>
          <w:b/>
          <w:sz w:val="44"/>
          <w:szCs w:val="44"/>
        </w:rPr>
      </w:pPr>
      <w:r>
        <w:rPr>
          <w:rFonts w:ascii="Times New Roman" w:hAnsi="Times New Roman" w:hint="eastAsia"/>
          <w:b/>
          <w:sz w:val="44"/>
          <w:szCs w:val="44"/>
        </w:rPr>
        <w:t>第五部分  附件</w:t>
      </w:r>
    </w:p>
    <w:p>
      <w:pPr>
        <w:rPr>
          <w:rFonts w:ascii="Times New Roman" w:hAnsi="Times New Roman"/>
        </w:rPr>
      </w:pPr>
    </w:p>
    <w:p>
      <w:pPr>
        <w:tabs>
          <w:tab w:val="left" w:pos="6241"/>
        </w:tabs>
        <w:jc w:val="left"/>
        <w:rPr>
          <w:rFonts w:ascii="Times New Roman" w:hAnsi="Times New Roman"/>
        </w:rPr>
        <w:sectPr>
          <w:footerReference w:type="default" r:id="rId3"/>
          <w:pgSz w:w="11906" w:h="16838"/>
          <w:pgMar w:top="1440" w:right="1800" w:bottom="1440" w:left="1800" w:header="851" w:footer="992" w:gutter="0"/>
          <w:pgNumType w:start="1"/>
          <w:docGrid w:type="lines" w:linePitch="312" w:charSpace="0"/>
        </w:sectPr>
      </w:pPr>
      <w:r>
        <w:rPr>
          <w:rFonts w:ascii="Times New Roman" w:hAnsi="Times New Roman" w:hint="eastAsia"/>
        </w:rPr>
        <w:tab/>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84"/>
        </w:rPr>
      </w:pPr>
      <w:r>
        <w:rPr>
          <w:rFonts w:ascii="Times New Roman" w:hAnsi="Times New Roman" w:hint="eastAsia"/>
          <w:b/>
          <w:sz w:val="72"/>
          <w:szCs w:val="84"/>
        </w:rPr>
        <w:t>第一部分</w:t>
      </w:r>
    </w:p>
    <w:p>
      <w:pPr>
        <w:jc w:val="center"/>
        <w:rPr>
          <w:rFonts w:ascii="Times New Roman" w:hAnsi="Times New Roman"/>
          <w:b/>
          <w:sz w:val="72"/>
          <w:szCs w:val="84"/>
        </w:rPr>
      </w:pPr>
      <w:r>
        <w:rPr>
          <w:rFonts w:ascii="Times New Roman" w:hAnsi="Times New Roman" w:hint="eastAsia"/>
          <w:b/>
          <w:sz w:val="72"/>
          <w:szCs w:val="84"/>
        </w:rPr>
        <w:t>福州海关信息中心概况</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spacing w:line="560" w:lineRule="exact"/>
        <w:ind w:firstLineChars="200" w:firstLine="640"/>
        <w:jc w:val="left"/>
        <w:rPr>
          <w:rFonts w:ascii="Times New Roman" w:eastAsia="方正黑体_GBK" w:hAnsi="Times New Roman"/>
          <w:sz w:val="32"/>
          <w:szCs w:val="32"/>
        </w:rPr>
      </w:pPr>
    </w:p>
    <w:p>
      <w:pPr>
        <w:autoSpaceDN w:val="0"/>
        <w:spacing w:line="560" w:lineRule="exact"/>
        <w:ind w:firstLineChars="200" w:firstLine="640"/>
        <w:outlineLvl w:val="0"/>
        <w:rPr>
          <w:rFonts w:ascii="Times New Roman" w:eastAsia="方正楷体_GBK" w:hAnsi="Times New Roman"/>
          <w:b/>
          <w:bCs/>
          <w:sz w:val="32"/>
          <w:szCs w:val="32"/>
        </w:rPr>
      </w:pPr>
      <w:r>
        <w:rPr>
          <w:rFonts w:ascii="Times New Roman" w:eastAsia="方正楷体_GBK" w:hAnsi="Times New Roman" w:hint="eastAsia"/>
          <w:b/>
          <w:bCs/>
          <w:sz w:val="32"/>
          <w:szCs w:val="32"/>
        </w:rPr>
        <w:t>（一）部门职责。</w:t>
      </w:r>
    </w:p>
    <w:p>
      <w:pPr>
        <w:autoSpaceDN w:val="0"/>
        <w:spacing w:line="360" w:lineRule="auto"/>
        <w:ind w:firstLineChars="200" w:firstLine="640"/>
        <w:rPr>
          <w:rFonts w:ascii="Times New Roman" w:eastAsia="方正仿宋_GBK" w:hAnsi="Times New Roman"/>
          <w:sz w:val="32"/>
          <w:szCs w:val="32"/>
        </w:rPr>
      </w:pPr>
      <w:r>
        <w:rPr>
          <w:rFonts w:ascii="Times New Roman" w:eastAsia="方正仿宋_GBK" w:hAnsi="Times New Roman"/>
          <w:sz w:val="32"/>
          <w:szCs w:val="32"/>
        </w:rPr>
        <w:t>根据《中央编办关于海关系统事业单位整合调整事宜的批复》（中央编办复字〔2019〕33号）、《海关总署关于福州海关所属事业单位整合调整事宜的通知》（署人发〔2019〕111号）文件</w:t>
      </w:r>
      <w:r>
        <w:rPr>
          <w:rFonts w:ascii="Times New Roman" w:eastAsia="方正仿宋_GBK" w:hAnsi="Times New Roman" w:hint="eastAsia"/>
          <w:sz w:val="32"/>
          <w:szCs w:val="32"/>
        </w:rPr>
        <w:t>等有关法律法规履行下列职责：</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（一）承担福州海关信息系统核心结点科技应用项目与基础设施的运维管理。</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（二）承担福州海关核心结点信息安全保障工作。</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（三）承担福州海关大数据资源、平台的建设和管理、大数据应用及服务工作。</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（四）承担福州海关核心结点的系统、网络等基础设施建设。</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（五）承担福州海关机关二级监控指挥中心和视频会议系统的技术保障工作。</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（六）协助科技处承办福州海关业务信息化项目建设，实施关级项目的项目建设和署级项目的部署。</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（七）承担福州海关科技应用项目总集成管理、技术架构设计与管控、新技术研究与应用等工作。</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（八）承担平潭海关信息系统核心结点科技应用项目与基础设施的运维管理。</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（九）承担自身组织建设和队伍建设，按权限承担人员岗位聘任和日常管理考核工作。</w:t>
      </w:r>
    </w:p>
    <w:p>
      <w:pPr>
        <w:adjustRightInd w:val="0"/>
        <w:snapToGrid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（十）</w:t>
      </w:r>
      <w:r>
        <w:rPr>
          <w:rFonts w:ascii="Times New Roman" w:eastAsia="方正仿宋_GBK" w:hAnsi="Times New Roman"/>
          <w:sz w:val="32"/>
          <w:szCs w:val="32"/>
        </w:rPr>
        <w:t>承办上级交办的其他工作事项。</w:t>
      </w:r>
    </w:p>
    <w:p>
      <w:pPr>
        <w:autoSpaceDN w:val="0"/>
        <w:spacing w:line="560" w:lineRule="exact"/>
        <w:ind w:firstLineChars="200" w:firstLine="640"/>
        <w:outlineLvl w:val="0"/>
        <w:rPr>
          <w:rFonts w:ascii="Times New Roman" w:eastAsia="方正楷体_GBK" w:hAnsi="Times New Roman"/>
          <w:b/>
          <w:bCs/>
          <w:sz w:val="32"/>
          <w:szCs w:val="32"/>
        </w:rPr>
      </w:pPr>
    </w:p>
    <w:p>
      <w:pPr>
        <w:autoSpaceDN w:val="0"/>
        <w:spacing w:line="560" w:lineRule="exact"/>
        <w:ind w:firstLineChars="200" w:firstLine="640"/>
        <w:outlineLvl w:val="0"/>
        <w:rPr>
          <w:rFonts w:ascii="Times New Roman" w:eastAsia="方正楷体_GBK" w:hAnsi="Times New Roman"/>
          <w:b/>
          <w:bCs/>
          <w:sz w:val="32"/>
          <w:szCs w:val="32"/>
        </w:rPr>
      </w:pPr>
      <w:r>
        <w:rPr>
          <w:rFonts w:ascii="Times New Roman" w:eastAsia="方正楷体_GBK" w:hAnsi="Times New Roman" w:hint="eastAsia"/>
          <w:b/>
          <w:bCs/>
          <w:sz w:val="32"/>
          <w:szCs w:val="32"/>
        </w:rPr>
        <w:t>（二）机构设置。</w:t>
      </w:r>
    </w:p>
    <w:p>
      <w:pPr>
        <w:autoSpaceDN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信息中心现有7个内设</w:t>
      </w:r>
      <w:r>
        <w:rPr>
          <w:rFonts w:ascii="Times New Roman" w:eastAsia="方正仿宋_GBK" w:hAnsi="Times New Roman"/>
          <w:sz w:val="32"/>
          <w:szCs w:val="32"/>
        </w:rPr>
        <w:t>处室</w:t>
      </w:r>
      <w:r>
        <w:rPr>
          <w:rFonts w:ascii="Times New Roman" w:eastAsia="方正仿宋_GBK" w:hAnsi="Times New Roman" w:hint="eastAsia"/>
          <w:sz w:val="32"/>
          <w:szCs w:val="32"/>
        </w:rPr>
        <w:t>，包括：</w:t>
      </w:r>
      <w:r>
        <w:rPr>
          <w:rFonts w:ascii="Times New Roman" w:eastAsia="方正仿宋_GBK" w:hAnsi="Times New Roman"/>
          <w:sz w:val="32"/>
          <w:szCs w:val="32"/>
        </w:rPr>
        <w:t>办公室</w:t>
      </w:r>
      <w:r>
        <w:rPr>
          <w:rFonts w:ascii="Times New Roman" w:eastAsia="方正仿宋_GBK" w:hAnsi="Times New Roman" w:hint="eastAsia"/>
          <w:sz w:val="32"/>
          <w:szCs w:val="32"/>
        </w:rPr>
        <w:t>、</w:t>
      </w:r>
      <w:r>
        <w:rPr>
          <w:rFonts w:ascii="Times New Roman" w:eastAsia="方正仿宋_GBK" w:hAnsi="Times New Roman"/>
          <w:sz w:val="32"/>
          <w:szCs w:val="32"/>
        </w:rPr>
        <w:t>技术科</w:t>
      </w:r>
      <w:r>
        <w:rPr>
          <w:rFonts w:ascii="Times New Roman" w:eastAsia="方正仿宋_GBK" w:hAnsi="Times New Roman" w:hint="eastAsia"/>
          <w:sz w:val="32"/>
          <w:szCs w:val="32"/>
        </w:rPr>
        <w:t>、</w:t>
      </w:r>
      <w:r>
        <w:rPr>
          <w:rFonts w:ascii="Times New Roman" w:eastAsia="方正仿宋_GBK" w:hAnsi="Times New Roman"/>
          <w:sz w:val="32"/>
          <w:szCs w:val="32"/>
        </w:rPr>
        <w:t>运行科</w:t>
      </w:r>
      <w:r>
        <w:rPr>
          <w:rFonts w:ascii="Times New Roman" w:eastAsia="方正仿宋_GBK" w:hAnsi="Times New Roman" w:hint="eastAsia"/>
          <w:sz w:val="32"/>
          <w:szCs w:val="32"/>
        </w:rPr>
        <w:t>、</w:t>
      </w:r>
      <w:r>
        <w:rPr>
          <w:rFonts w:ascii="Times New Roman" w:eastAsia="方正仿宋_GBK" w:hAnsi="Times New Roman"/>
          <w:sz w:val="32"/>
          <w:szCs w:val="32"/>
        </w:rPr>
        <w:t>应用科</w:t>
      </w:r>
      <w:r>
        <w:rPr>
          <w:rFonts w:ascii="Times New Roman" w:eastAsia="方正仿宋_GBK" w:hAnsi="Times New Roman" w:hint="eastAsia"/>
          <w:sz w:val="32"/>
          <w:szCs w:val="32"/>
        </w:rPr>
        <w:t>、</w:t>
      </w:r>
      <w:r>
        <w:rPr>
          <w:rFonts w:ascii="Times New Roman" w:eastAsia="方正仿宋_GBK" w:hAnsi="Times New Roman"/>
          <w:sz w:val="32"/>
          <w:szCs w:val="32"/>
        </w:rPr>
        <w:t>网络科</w:t>
      </w:r>
      <w:r>
        <w:rPr>
          <w:rFonts w:ascii="Times New Roman" w:eastAsia="方正仿宋_GBK" w:hAnsi="Times New Roman" w:hint="eastAsia"/>
          <w:sz w:val="32"/>
          <w:szCs w:val="32"/>
        </w:rPr>
        <w:t>、</w:t>
      </w:r>
      <w:r>
        <w:rPr>
          <w:rFonts w:ascii="Times New Roman" w:eastAsia="方正仿宋_GBK" w:hAnsi="Times New Roman"/>
          <w:sz w:val="32"/>
          <w:szCs w:val="32"/>
        </w:rPr>
        <w:t>安全科</w:t>
      </w:r>
      <w:r>
        <w:rPr>
          <w:rFonts w:ascii="Times New Roman" w:eastAsia="方正仿宋_GBK" w:hAnsi="Times New Roman" w:hint="eastAsia"/>
          <w:sz w:val="32"/>
          <w:szCs w:val="32"/>
        </w:rPr>
        <w:t>、驻</w:t>
      </w:r>
      <w:r>
        <w:rPr>
          <w:rFonts w:ascii="Times New Roman" w:eastAsia="方正仿宋_GBK" w:hAnsi="Times New Roman"/>
          <w:sz w:val="32"/>
          <w:szCs w:val="32"/>
        </w:rPr>
        <w:t>平潭</w:t>
      </w:r>
      <w:r>
        <w:rPr>
          <w:rFonts w:ascii="Times New Roman" w:eastAsia="方正仿宋_GBK" w:hAnsi="Times New Roman" w:hint="eastAsia"/>
          <w:sz w:val="32"/>
          <w:szCs w:val="32"/>
        </w:rPr>
        <w:t>海关科。</w:t>
      </w:r>
    </w:p>
    <w:p>
      <w:pPr>
        <w:autoSpaceDN w:val="0"/>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纳入福州海关</w:t>
      </w:r>
      <w:r>
        <w:rPr>
          <w:rFonts w:ascii="Times New Roman" w:eastAsia="方正仿宋_GBK" w:hAnsi="Times New Roman"/>
          <w:sz w:val="32"/>
          <w:szCs w:val="32"/>
        </w:rPr>
        <w:t>20</w:t>
      </w:r>
      <w:r>
        <w:rPr>
          <w:rFonts w:ascii="Times New Roman" w:eastAsia="方正仿宋_GBK" w:hAnsi="Times New Roman" w:hint="eastAsia"/>
          <w:sz w:val="32"/>
          <w:szCs w:val="32"/>
        </w:rPr>
        <w:t>2</w:t>
      </w:r>
      <w:r>
        <w:rPr>
          <w:rFonts w:ascii="Times New Roman" w:eastAsia="方正仿宋_GBK" w:hAnsi="Times New Roman"/>
          <w:sz w:val="32"/>
          <w:szCs w:val="32"/>
        </w:rPr>
        <w:t>5</w:t>
      </w:r>
      <w:r>
        <w:rPr>
          <w:rFonts w:ascii="Times New Roman" w:eastAsia="方正仿宋_GBK" w:hAnsi="Times New Roman" w:hint="eastAsia"/>
          <w:sz w:val="32"/>
          <w:szCs w:val="32"/>
        </w:rPr>
        <w:t>年部门预算编制范围的单位</w:t>
      </w:r>
      <w:r>
        <w:rPr>
          <w:rFonts w:ascii="Times New Roman" w:eastAsia="方正仿宋_GBK" w:hAnsi="Times New Roman"/>
          <w:sz w:val="32"/>
          <w:szCs w:val="32"/>
        </w:rPr>
        <w:t>（含独立编报部门决算的单户）</w:t>
      </w:r>
      <w:r>
        <w:rPr>
          <w:rFonts w:ascii="Times New Roman" w:eastAsia="方正仿宋_GBK" w:hAnsi="Times New Roman" w:hint="eastAsia"/>
          <w:sz w:val="32"/>
          <w:szCs w:val="32"/>
        </w:rPr>
        <w:t>详细情况见下表：</w:t>
      </w:r>
    </w:p>
    <w:p>
      <w:pPr>
        <w:autoSpaceDN w:val="0"/>
        <w:spacing w:line="360" w:lineRule="auto"/>
        <w:ind w:firstLineChars="200" w:firstLine="420"/>
        <w:rPr>
          <w:rFonts w:ascii="Times New Roman" w:hAnsi="Times New Roman"/>
        </w:rPr>
      </w:pPr>
    </w:p>
    <w:tbl>
      <w:tblPr>
        <w:jc w:val="left"/>
        <w:tblInd w:w="93" w:type="dxa"/>
        <w:tblW w:w="7670" w:type="dxa"/>
        <w:tblBorders>
          <w:top w:val="none" w:sz="0" w:space="0" w:color="auto"/>
          <w:left w:val="none" w:sz="0" w:space="0" w:color="auto"/>
          <w:bottom w:val="none" w:sz="0" w:space="0" w:color="auto"/>
          <w:right w:val="none" w:sz="0" w:space="0" w:color="auto"/>
        </w:tblBorders>
        <w:tblCellMar>
          <w:top w:w="15" w:type="dxa"/>
          <w:left w:w="108" w:type="dxa"/>
          <w:bottom w:w="15" w:type="dxa"/>
          <w:right w:w="108" w:type="dxa"/>
        </w:tblCellMar>
      </w:tblPr>
      <w:tblGrid>
        <w:gridCol w:w="2283"/>
        <w:gridCol w:w="5387"/>
      </w:tblGrid>
      <w:tr>
        <w:trPr>
          <w:trHeight w:val="495"/>
        </w:trPr>
        <w:tc>
          <w:tcPr>
            <w:tcW w:w="2283" w:type="dxa"/>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Times New Roman" w:hAnsi="Times New Roman"/>
                <w:color w:val="000000"/>
                <w:kern w:val="0"/>
                <w:sz w:val="20"/>
                <w:szCs w:val="20"/>
              </w:rPr>
            </w:pPr>
            <w:r>
              <w:rPr>
                <w:rFonts w:ascii="Times New Roman" w:hAnsi="Times New Roman" w:hint="eastAsia"/>
                <w:color w:val="000000"/>
                <w:kern w:val="0"/>
                <w:sz w:val="20"/>
                <w:szCs w:val="20"/>
              </w:rPr>
              <w:t>序号</w:t>
            </w:r>
          </w:p>
        </w:tc>
        <w:tc>
          <w:tcPr>
            <w:tcW w:w="5387" w:type="dxa"/>
            <w:tcBorders>
              <w:top w:val="single" w:sz="6" w:space="0" w:color="auto"/>
              <w:left w:val="single" w:sz="6" w:space="0" w:color="auto"/>
              <w:bottom w:val="single" w:sz="6" w:space="0" w:color="auto"/>
              <w:right w:val="single" w:sz="6" w:space="0" w:color="auto"/>
            </w:tcBorders>
            <w:shd w:val="clear" w:color="auto" w:fill="auto"/>
            <w:vAlign w:val="center"/>
          </w:tcPr>
          <w:p>
            <w:pPr>
              <w:widowControl/>
              <w:jc w:val="center"/>
              <w:rPr>
                <w:rFonts w:ascii="Times New Roman" w:hAnsi="Times New Roman"/>
                <w:color w:val="000000"/>
                <w:kern w:val="0"/>
                <w:sz w:val="20"/>
                <w:szCs w:val="20"/>
              </w:rPr>
            </w:pPr>
            <w:r>
              <w:rPr>
                <w:rFonts w:ascii="Times New Roman" w:hAnsi="Times New Roman" w:hint="eastAsia"/>
                <w:color w:val="000000"/>
                <w:kern w:val="0"/>
                <w:sz w:val="20"/>
                <w:szCs w:val="20"/>
              </w:rPr>
              <w:t>单位名称</w:t>
            </w:r>
          </w:p>
        </w:tc>
      </w:tr>
      <w:tr>
        <w:trPr>
          <w:trHeight w:val="315"/>
        </w:trPr>
        <w:tc>
          <w:tcPr>
            <w:tcW w:w="2283" w:type="dxa"/>
            <w:tcBorders>
              <w:top w:val="single" w:sz="6" w:space="0" w:color="auto"/>
              <w:left w:val="single" w:sz="6" w:space="0" w:color="auto"/>
              <w:bottom w:val="single" w:sz="6" w:space="0" w:color="auto"/>
              <w:right w:val="single" w:sz="6" w:space="0" w:color="auto"/>
            </w:tcBorders>
            <w:noWrap/>
            <w:vAlign w:val="center"/>
          </w:tcPr>
          <w:p>
            <w:pPr>
              <w:widowControl/>
              <w:jc w:val="center"/>
              <w:rPr>
                <w:rFonts w:ascii="Times New Roman" w:hAnsi="Times New Roman"/>
                <w:color w:val="000000"/>
                <w:kern w:val="0"/>
                <w:sz w:val="20"/>
                <w:szCs w:val="20"/>
              </w:rPr>
            </w:pPr>
            <w:r>
              <w:rPr>
                <w:rFonts w:ascii="Times New Roman" w:hAnsi="Times New Roman" w:hint="eastAsia"/>
                <w:color w:val="000000"/>
                <w:kern w:val="0"/>
                <w:sz w:val="20"/>
                <w:szCs w:val="20"/>
              </w:rPr>
              <w:t>1</w:t>
            </w:r>
          </w:p>
        </w:tc>
        <w:tc>
          <w:tcPr>
            <w:tcW w:w="5387" w:type="dxa"/>
            <w:tcBorders>
              <w:top w:val="single" w:sz="6" w:space="0" w:color="auto"/>
              <w:left w:val="single" w:sz="6" w:space="0" w:color="auto"/>
              <w:bottom w:val="single" w:sz="6" w:space="0" w:color="auto"/>
              <w:right w:val="single" w:sz="6" w:space="0" w:color="auto"/>
            </w:tcBorders>
            <w:noWrap/>
            <w:vAlign w:val="center"/>
          </w:tcPr>
          <w:p>
            <w:pPr>
              <w:widowControl/>
              <w:jc w:val="left"/>
              <w:rPr>
                <w:rFonts w:ascii="Times New Roman" w:hAnsi="Times New Roman"/>
                <w:color w:val="000000"/>
                <w:kern w:val="0"/>
                <w:sz w:val="20"/>
                <w:szCs w:val="20"/>
              </w:rPr>
            </w:pPr>
            <w:r>
              <w:rPr>
                <w:rFonts w:ascii="Times New Roman" w:hAnsi="Times New Roman" w:hint="eastAsia"/>
                <w:color w:val="000000"/>
                <w:kern w:val="0"/>
                <w:sz w:val="20"/>
                <w:szCs w:val="20"/>
              </w:rPr>
              <w:t>福州海关信息中心</w:t>
            </w:r>
          </w:p>
        </w:tc>
      </w:tr>
    </w:tbl>
    <w:p>
      <w:pPr>
        <w:rPr>
          <w:rFonts w:ascii="Times New Roman" w:hAnsi="Times New Roman"/>
        </w:rPr>
      </w:pPr>
    </w:p>
    <w:p>
      <w:pPr>
        <w:widowControl/>
        <w:autoSpaceDN w:val="0"/>
        <w:jc w:val="left"/>
        <w:rPr>
          <w:rFonts w:ascii="Times New Roman" w:hAnsi="Times New Roman"/>
        </w:rPr>
        <w:sectPr>
          <w:pgSz w:w="11907" w:h="16840"/>
          <w:pgMar w:top="1440" w:right="1797" w:bottom="1440" w:left="1797" w:header="851" w:footer="992" w:gutter="0"/>
          <w:docGrid w:type="lines" w:linePitch="312" w:charSpace="0"/>
        </w:sectPr>
      </w:pP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pPr>
        <w:jc w:val="center"/>
        <w:rPr>
          <w:rFonts w:ascii="Times New Roman" w:hAnsi="Times New Roman"/>
          <w:szCs w:val="21"/>
        </w:rPr>
      </w:pPr>
      <w:r>
        <w:rPr>
          <w:rFonts w:ascii="Times New Roman" w:hAnsi="Times New Roman"/>
          <w:b/>
          <w:sz w:val="72"/>
          <w:szCs w:val="72"/>
        </w:rPr>
        <w:t>2025</w:t>
      </w:r>
      <w:r>
        <w:rPr>
          <w:rFonts w:ascii="Times New Roman" w:hAnsi="Times New Roman" w:hint="eastAsia"/>
          <w:b/>
          <w:sz w:val="72"/>
          <w:szCs w:val="72"/>
        </w:rPr>
        <w:t>年部门预算表</w:t>
      </w:r>
    </w:p>
    <w:p>
      <w:pPr>
        <w:jc w:val="center"/>
        <w:rPr>
          <w:rFonts w:ascii="Times New Roman" w:eastAsia="方正仿宋_GBK" w:hAnsi="Times New Roman"/>
          <w:sz w:val="84"/>
          <w:szCs w:val="84"/>
        </w:rPr>
      </w:pPr>
    </w:p>
    <w:p>
      <w:pPr>
        <w:jc w:val="center"/>
        <w:rPr>
          <w:rFonts w:ascii="Times New Roman" w:eastAsia="方正仿宋_GBK" w:hAnsi="Times New Roman"/>
          <w:sz w:val="84"/>
          <w:szCs w:val="84"/>
        </w:rPr>
      </w:pPr>
    </w:p>
    <w:p>
      <w:pPr>
        <w:widowControl/>
        <w:jc w:val="left"/>
        <w:rPr>
          <w:rFonts w:ascii="Times New Roman" w:eastAsia="方正仿宋_GBK" w:hAnsi="Times New Roman"/>
          <w:sz w:val="84"/>
          <w:szCs w:val="84"/>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119"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119"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ascii="宋体" w:cs="宋体"/>
                <w:sz w:val="20"/>
                <w:szCs w:val="20"/>
              </w:rPr>
              <w:t>902.71</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1,0</w:t>
            </w:r>
            <w:r>
              <w:rPr>
                <w:sz w:val="20"/>
                <w:szCs w:val="20"/>
              </w:rPr>
              <w:t>42</w:t>
            </w:r>
            <w:r>
              <w:rPr>
                <w:rFonts w:hint="eastAsia"/>
                <w:sz w:val="20"/>
                <w:szCs w:val="20"/>
              </w:rPr>
              <w:t>.</w:t>
            </w:r>
            <w:r>
              <w:rPr>
                <w:sz w:val="20"/>
                <w:szCs w:val="20"/>
              </w:rPr>
              <w:t>62</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sz w:val="20"/>
                <w:szCs w:val="20"/>
              </w:rPr>
              <w:t>9</w:t>
            </w:r>
            <w:r>
              <w:rPr>
                <w:rFonts w:hint="eastAsia"/>
                <w:sz w:val="20"/>
                <w:szCs w:val="20"/>
              </w:rPr>
              <w:t>6.31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2</w:t>
            </w:r>
            <w:r>
              <w:rPr>
                <w:sz w:val="20"/>
                <w:szCs w:val="20"/>
              </w:rPr>
              <w:t>98</w:t>
            </w:r>
            <w:r>
              <w:rPr>
                <w:rFonts w:hint="eastAsia"/>
                <w:sz w:val="20"/>
                <w:szCs w:val="20"/>
              </w:rPr>
              <w:t>.00</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sz w:val="20"/>
                <w:szCs w:val="20"/>
              </w:rPr>
              <w:t>111.7</w:t>
            </w:r>
            <w:r>
              <w:rPr>
                <w:rFonts w:hint="eastAsia"/>
                <w:sz w:val="20"/>
                <w:szCs w:val="20"/>
              </w:rPr>
              <w:t>8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sz w:val="20"/>
                <w:szCs w:val="20"/>
              </w:rPr>
              <w:t>1,200.71</w:t>
            </w:r>
          </w:p>
        </w:tc>
        <w:tc>
          <w:tcPr>
            <w:tcW w:w="3827"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1,</w:t>
            </w:r>
            <w:r>
              <w:rPr>
                <w:sz w:val="20"/>
                <w:szCs w:val="20"/>
              </w:rPr>
              <w:t>250</w:t>
            </w:r>
            <w:r>
              <w:rPr>
                <w:rFonts w:hint="eastAsia"/>
                <w:sz w:val="20"/>
                <w:szCs w:val="20"/>
              </w:rPr>
              <w:t>.</w:t>
            </w:r>
            <w:r>
              <w:rPr>
                <w:sz w:val="20"/>
                <w:szCs w:val="20"/>
              </w:rPr>
              <w:t>71</w:t>
            </w:r>
            <w:r>
              <w:rPr>
                <w:rFonts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sz w:val="20"/>
                <w:szCs w:val="20"/>
              </w:rPr>
              <w:t>50.00</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结转下年（非财政拨款）</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　</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收    入    总    计</w:t>
            </w:r>
          </w:p>
        </w:tc>
        <w:tc>
          <w:tcPr>
            <w:tcW w:w="3260"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1,</w:t>
            </w:r>
            <w:r>
              <w:rPr>
                <w:sz w:val="20"/>
                <w:szCs w:val="20"/>
              </w:rPr>
              <w:t>250</w:t>
            </w:r>
            <w:r>
              <w:rPr>
                <w:rFonts w:hint="eastAsia"/>
                <w:sz w:val="20"/>
                <w:szCs w:val="20"/>
              </w:rPr>
              <w:t>.</w:t>
            </w:r>
            <w:r>
              <w:rPr>
                <w:sz w:val="20"/>
                <w:szCs w:val="20"/>
              </w:rPr>
              <w:t>71</w:t>
            </w:r>
          </w:p>
        </w:tc>
        <w:tc>
          <w:tcPr>
            <w:tcW w:w="3827"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支</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出</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总</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pPr>
              <w:jc w:val="right"/>
              <w:rPr>
                <w:rFonts w:ascii="宋体" w:cs="宋体"/>
                <w:sz w:val="20"/>
                <w:szCs w:val="20"/>
              </w:rPr>
            </w:pPr>
            <w:r>
              <w:rPr>
                <w:rFonts w:hint="eastAsia"/>
                <w:sz w:val="20"/>
                <w:szCs w:val="20"/>
              </w:rPr>
              <w:t>1,</w:t>
            </w:r>
            <w:r>
              <w:rPr>
                <w:sz w:val="20"/>
                <w:szCs w:val="20"/>
              </w:rPr>
              <w:t>250</w:t>
            </w:r>
            <w:r>
              <w:rPr>
                <w:rFonts w:hint="eastAsia"/>
                <w:sz w:val="20"/>
                <w:szCs w:val="20"/>
              </w:rPr>
              <w:t>.</w:t>
            </w:r>
            <w:r>
              <w:rPr>
                <w:sz w:val="20"/>
                <w:szCs w:val="20"/>
              </w:rPr>
              <w:t>71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36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16" w:type="dxa"/>
            <w:tcBorders>
              <w:top w:val="nil"/>
              <w:left w:val="single" w:sz="4" w:space="0" w:color="auto"/>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1,250.71</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22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902.71</w:t>
            </w: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p>
        </w:tc>
        <w:tc>
          <w:tcPr>
            <w:tcW w:w="1166"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298.00</w:t>
            </w:r>
          </w:p>
        </w:tc>
        <w:tc>
          <w:tcPr>
            <w:tcW w:w="1290" w:type="dxa"/>
            <w:tcBorders>
              <w:top w:val="nil"/>
              <w:left w:val="nil"/>
              <w:bottom w:val="single" w:sz="4" w:space="0" w:color="auto"/>
              <w:right w:val="single" w:sz="4" w:space="0" w:color="auto"/>
            </w:tcBorders>
            <w:shd w:val="clear" w:color="auto" w:fill="auto"/>
            <w:vAlign w:val="center"/>
          </w:tcPr>
          <w:p>
            <w:pPr>
              <w:widowControl/>
              <w:jc w:val="right"/>
              <w:rPr>
                <w:rFonts w:ascii="Times New Roman" w:cs="宋体" w:hAnsi="Times New Roman"/>
                <w:kern w:val="0"/>
                <w:sz w:val="20"/>
                <w:szCs w:val="20"/>
              </w:rPr>
            </w:pPr>
            <w:r>
              <w:rPr>
                <w:rFonts w:ascii="Times New Roman" w:cs="宋体" w:hAnsi="Times New Roman"/>
                <w:kern w:val="0"/>
                <w:sz w:val="20"/>
                <w:szCs w:val="20"/>
              </w:rPr>
              <w:t>50.00</w:t>
            </w:r>
          </w:p>
        </w:tc>
      </w:tr>
    </w:tbl>
    <w:p>
      <w:pPr>
        <w:jc w:val="left"/>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041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19"/>
        <w:gridCol w:w="2522"/>
        <w:gridCol w:w="1332"/>
        <w:gridCol w:w="1332"/>
        <w:gridCol w:w="1132"/>
        <w:gridCol w:w="993"/>
        <w:gridCol w:w="938"/>
        <w:gridCol w:w="1050"/>
      </w:tblGrid>
      <w:tr>
        <w:trPr>
          <w:trHeight w:val="319"/>
        </w:trPr>
        <w:tc>
          <w:tcPr>
            <w:tcW w:w="10418" w:type="dxa"/>
            <w:gridSpan w:val="8"/>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 xml:space="preserve"> 部门公开表3 </w:t>
            </w:r>
          </w:p>
        </w:tc>
      </w:tr>
      <w:tr>
        <w:trPr>
          <w:trHeight w:val="540"/>
        </w:trPr>
        <w:tc>
          <w:tcPr>
            <w:tcW w:w="10418" w:type="dxa"/>
            <w:gridSpan w:val="8"/>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 xml:space="preserve"> 部门支出总表 </w:t>
            </w:r>
          </w:p>
        </w:tc>
      </w:tr>
      <w:tr>
        <w:trPr>
          <w:trHeight w:val="360"/>
        </w:trPr>
        <w:tc>
          <w:tcPr>
            <w:tcW w:w="1119" w:type="dxa"/>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p>
        </w:tc>
        <w:tc>
          <w:tcPr>
            <w:tcW w:w="252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13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981" w:type="dxa"/>
            <w:gridSpan w:val="3"/>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 xml:space="preserve"> 单位：万元 </w:t>
            </w:r>
          </w:p>
        </w:tc>
      </w:tr>
      <w:tr>
        <w:trPr>
          <w:trHeight w:val="976"/>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科目代码 </w:t>
            </w:r>
          </w:p>
        </w:tc>
        <w:tc>
          <w:tcPr>
            <w:tcW w:w="252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科目名称 </w:t>
            </w:r>
          </w:p>
        </w:tc>
        <w:tc>
          <w:tcPr>
            <w:tcW w:w="133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合计 </w:t>
            </w:r>
          </w:p>
        </w:tc>
        <w:tc>
          <w:tcPr>
            <w:tcW w:w="133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基本支出 </w:t>
            </w:r>
          </w:p>
        </w:tc>
        <w:tc>
          <w:tcPr>
            <w:tcW w:w="1132"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项目支出 </w:t>
            </w:r>
          </w:p>
        </w:tc>
        <w:tc>
          <w:tcPr>
            <w:tcW w:w="9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上缴上级支出 </w:t>
            </w:r>
          </w:p>
        </w:tc>
        <w:tc>
          <w:tcPr>
            <w:tcW w:w="93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事业单位经营支出 </w:t>
            </w:r>
          </w:p>
        </w:tc>
        <w:tc>
          <w:tcPr>
            <w:tcW w:w="1050" w:type="dxa"/>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对附属单位补助支出 </w:t>
            </w: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201</w:t>
            </w:r>
          </w:p>
        </w:tc>
        <w:tc>
          <w:tcPr>
            <w:tcW w:w="2522" w:type="dxa"/>
            <w:tcBorders>
              <w:top w:val="nil"/>
              <w:left w:val="nil"/>
              <w:bottom w:val="single" w:sz="4" w:space="0" w:color="auto"/>
              <w:right w:val="single" w:sz="4" w:space="0" w:color="auto"/>
            </w:tcBorders>
            <w:shd w:val="clear" w:color="auto" w:fill="auto"/>
            <w:vAlign w:val="center"/>
          </w:tcPr>
          <w:p>
            <w:pPr>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一般公共服务支出</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1,0</w:t>
            </w:r>
            <w:r>
              <w:rPr>
                <w:sz w:val="16"/>
                <w:szCs w:val="16"/>
              </w:rPr>
              <w:t>42</w:t>
            </w:r>
            <w:r>
              <w:rPr>
                <w:rFonts w:hint="eastAsia"/>
                <w:sz w:val="16"/>
                <w:szCs w:val="16"/>
              </w:rPr>
              <w:t>.</w:t>
            </w:r>
            <w:r>
              <w:rPr>
                <w:sz w:val="16"/>
                <w:szCs w:val="16"/>
              </w:rPr>
              <w:t>62</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1,0</w:t>
            </w:r>
            <w:r>
              <w:rPr>
                <w:sz w:val="16"/>
                <w:szCs w:val="16"/>
              </w:rPr>
              <w:t>40</w:t>
            </w:r>
            <w:r>
              <w:rPr>
                <w:rFonts w:hint="eastAsia"/>
                <w:sz w:val="16"/>
                <w:szCs w:val="16"/>
              </w:rPr>
              <w:t>.</w:t>
            </w:r>
            <w:r>
              <w:rPr>
                <w:sz w:val="16"/>
                <w:szCs w:val="16"/>
              </w:rPr>
              <w:t>62</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2</w:t>
            </w:r>
            <w:r>
              <w:rPr>
                <w:rFonts w:hint="eastAsia"/>
                <w:sz w:val="16"/>
                <w:szCs w:val="16"/>
              </w:rPr>
              <w:t>.</w:t>
            </w:r>
            <w:r>
              <w:rPr>
                <w:sz w:val="16"/>
                <w:szCs w:val="16"/>
              </w:rPr>
              <w:t>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20109</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海关事务</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1,</w:t>
            </w:r>
            <w:r>
              <w:rPr>
                <w:sz w:val="16"/>
                <w:szCs w:val="16"/>
              </w:rPr>
              <w:t>042</w:t>
            </w:r>
            <w:r>
              <w:rPr>
                <w:rFonts w:hint="eastAsia"/>
                <w:sz w:val="16"/>
                <w:szCs w:val="16"/>
              </w:rPr>
              <w:t>.</w:t>
            </w:r>
            <w:r>
              <w:rPr>
                <w:sz w:val="16"/>
                <w:szCs w:val="16"/>
              </w:rPr>
              <w:t>62</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1,0</w:t>
            </w:r>
            <w:r>
              <w:rPr>
                <w:sz w:val="16"/>
                <w:szCs w:val="16"/>
              </w:rPr>
              <w:t>40</w:t>
            </w:r>
            <w:r>
              <w:rPr>
                <w:rFonts w:hint="eastAsia"/>
                <w:sz w:val="16"/>
                <w:szCs w:val="16"/>
              </w:rPr>
              <w:t>.</w:t>
            </w:r>
            <w:r>
              <w:rPr>
                <w:sz w:val="16"/>
                <w:szCs w:val="16"/>
              </w:rPr>
              <w:t>62</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2</w:t>
            </w:r>
            <w:r>
              <w:rPr>
                <w:rFonts w:hint="eastAsia"/>
                <w:sz w:val="16"/>
                <w:szCs w:val="16"/>
              </w:rPr>
              <w:t>.</w:t>
            </w:r>
            <w:r>
              <w:rPr>
                <w:sz w:val="16"/>
                <w:szCs w:val="16"/>
              </w:rPr>
              <w:t>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bCs/>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2010909</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海关关务</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2</w:t>
            </w:r>
            <w:r>
              <w:rPr>
                <w:rFonts w:hint="eastAsia"/>
                <w:sz w:val="16"/>
                <w:szCs w:val="16"/>
              </w:rPr>
              <w:t>.</w:t>
            </w:r>
            <w:r>
              <w:rPr>
                <w:sz w:val="16"/>
                <w:szCs w:val="16"/>
              </w:rPr>
              <w:t>00</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2</w:t>
            </w:r>
            <w:r>
              <w:rPr>
                <w:rFonts w:hint="eastAsia"/>
                <w:sz w:val="16"/>
                <w:szCs w:val="16"/>
              </w:rPr>
              <w:t>.</w:t>
            </w:r>
            <w:r>
              <w:rPr>
                <w:sz w:val="16"/>
                <w:szCs w:val="16"/>
              </w:rPr>
              <w:t>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2010950</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事业运行</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1,0</w:t>
            </w:r>
            <w:r>
              <w:rPr>
                <w:sz w:val="16"/>
                <w:szCs w:val="16"/>
              </w:rPr>
              <w:t>40</w:t>
            </w:r>
            <w:r>
              <w:rPr>
                <w:rFonts w:hint="eastAsia"/>
                <w:sz w:val="16"/>
                <w:szCs w:val="16"/>
              </w:rPr>
              <w:t>.</w:t>
            </w:r>
            <w:r>
              <w:rPr>
                <w:sz w:val="16"/>
                <w:szCs w:val="16"/>
              </w:rPr>
              <w:t>62</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1,0</w:t>
            </w:r>
            <w:r>
              <w:rPr>
                <w:sz w:val="16"/>
                <w:szCs w:val="16"/>
              </w:rPr>
              <w:t>40</w:t>
            </w:r>
            <w:r>
              <w:rPr>
                <w:rFonts w:hint="eastAsia"/>
                <w:sz w:val="16"/>
                <w:szCs w:val="16"/>
              </w:rPr>
              <w:t>.</w:t>
            </w:r>
            <w:r>
              <w:rPr>
                <w:sz w:val="16"/>
                <w:szCs w:val="16"/>
              </w:rPr>
              <w:t>62</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w:t>
            </w:r>
          </w:p>
        </w:tc>
        <w:tc>
          <w:tcPr>
            <w:tcW w:w="2522" w:type="dxa"/>
            <w:tcBorders>
              <w:top w:val="nil"/>
              <w:left w:val="nil"/>
              <w:bottom w:val="single" w:sz="4" w:space="0" w:color="auto"/>
              <w:right w:val="single" w:sz="4" w:space="0" w:color="auto"/>
            </w:tcBorders>
            <w:shd w:val="clear" w:color="auto" w:fill="auto"/>
            <w:vAlign w:val="center"/>
          </w:tcPr>
          <w:p>
            <w:pPr>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社会保障和就业支出</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9</w:t>
            </w:r>
            <w:r>
              <w:rPr>
                <w:rFonts w:hint="eastAsia"/>
                <w:sz w:val="16"/>
                <w:szCs w:val="16"/>
              </w:rPr>
              <w:t>6.31</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9</w:t>
            </w:r>
            <w:r>
              <w:rPr>
                <w:rFonts w:hint="eastAsia"/>
                <w:sz w:val="16"/>
                <w:szCs w:val="16"/>
              </w:rPr>
              <w:t>6.31</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20805</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行政事业单位养老支出</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9</w:t>
            </w:r>
            <w:r>
              <w:rPr>
                <w:rFonts w:hint="eastAsia"/>
                <w:sz w:val="16"/>
                <w:szCs w:val="16"/>
              </w:rPr>
              <w:t>6.31</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9</w:t>
            </w:r>
            <w:r>
              <w:rPr>
                <w:rFonts w:hint="eastAsia"/>
                <w:sz w:val="16"/>
                <w:szCs w:val="16"/>
              </w:rPr>
              <w:t>6.31</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2080505</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机关事业单位基本养老保险缴费支出</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6</w:t>
            </w:r>
            <w:r>
              <w:rPr>
                <w:rFonts w:hint="eastAsia"/>
                <w:sz w:val="16"/>
                <w:szCs w:val="16"/>
              </w:rPr>
              <w:t>1.10</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6</w:t>
            </w:r>
            <w:r>
              <w:rPr>
                <w:rFonts w:hint="eastAsia"/>
                <w:sz w:val="16"/>
                <w:szCs w:val="16"/>
              </w:rPr>
              <w:t>1.10</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2080506</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机关事业单位职业年金缴费支出</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3</w:t>
            </w:r>
            <w:r>
              <w:rPr>
                <w:rFonts w:hint="eastAsia"/>
                <w:sz w:val="16"/>
                <w:szCs w:val="16"/>
              </w:rPr>
              <w:t>5.21</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3</w:t>
            </w:r>
            <w:r>
              <w:rPr>
                <w:rFonts w:hint="eastAsia"/>
                <w:sz w:val="16"/>
                <w:szCs w:val="16"/>
              </w:rPr>
              <w:t>5.21</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221</w:t>
            </w:r>
          </w:p>
        </w:tc>
        <w:tc>
          <w:tcPr>
            <w:tcW w:w="2522" w:type="dxa"/>
            <w:tcBorders>
              <w:top w:val="nil"/>
              <w:left w:val="nil"/>
              <w:bottom w:val="single" w:sz="4" w:space="0" w:color="auto"/>
              <w:right w:val="single" w:sz="4" w:space="0" w:color="auto"/>
            </w:tcBorders>
            <w:shd w:val="clear" w:color="auto" w:fill="auto"/>
            <w:vAlign w:val="center"/>
          </w:tcPr>
          <w:p>
            <w:pPr>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住房保障支出</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111</w:t>
            </w:r>
            <w:r>
              <w:rPr>
                <w:rFonts w:hint="eastAsia"/>
                <w:sz w:val="16"/>
                <w:szCs w:val="16"/>
              </w:rPr>
              <w:t>.</w:t>
            </w:r>
            <w:r>
              <w:rPr>
                <w:sz w:val="16"/>
                <w:szCs w:val="16"/>
              </w:rPr>
              <w:t>7</w:t>
            </w:r>
            <w:r>
              <w:rPr>
                <w:rFonts w:hint="eastAsia"/>
                <w:sz w:val="16"/>
                <w:szCs w:val="16"/>
              </w:rPr>
              <w:t>8</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111</w:t>
            </w:r>
            <w:r>
              <w:rPr>
                <w:rFonts w:hint="eastAsia"/>
                <w:sz w:val="16"/>
                <w:szCs w:val="16"/>
              </w:rPr>
              <w:t>.</w:t>
            </w:r>
            <w:r>
              <w:rPr>
                <w:sz w:val="16"/>
                <w:szCs w:val="16"/>
              </w:rPr>
              <w:t>7</w:t>
            </w:r>
            <w:r>
              <w:rPr>
                <w:rFonts w:hint="eastAsia"/>
                <w:sz w:val="16"/>
                <w:szCs w:val="16"/>
              </w:rPr>
              <w:t>8</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22102</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住房改革支出</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111</w:t>
            </w:r>
            <w:r>
              <w:rPr>
                <w:rFonts w:hint="eastAsia"/>
                <w:sz w:val="16"/>
                <w:szCs w:val="16"/>
              </w:rPr>
              <w:t>.</w:t>
            </w:r>
            <w:r>
              <w:rPr>
                <w:sz w:val="16"/>
                <w:szCs w:val="16"/>
              </w:rPr>
              <w:t>7</w:t>
            </w:r>
            <w:r>
              <w:rPr>
                <w:rFonts w:hint="eastAsia"/>
                <w:sz w:val="16"/>
                <w:szCs w:val="16"/>
              </w:rPr>
              <w:t>8</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111</w:t>
            </w:r>
            <w:r>
              <w:rPr>
                <w:rFonts w:hint="eastAsia"/>
                <w:sz w:val="16"/>
                <w:szCs w:val="16"/>
              </w:rPr>
              <w:t>.</w:t>
            </w:r>
            <w:r>
              <w:rPr>
                <w:sz w:val="16"/>
                <w:szCs w:val="16"/>
              </w:rPr>
              <w:t>7</w:t>
            </w:r>
            <w:r>
              <w:rPr>
                <w:rFonts w:hint="eastAsia"/>
                <w:sz w:val="16"/>
                <w:szCs w:val="16"/>
              </w:rPr>
              <w:t>8</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2210201</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住房公积金</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66</w:t>
            </w:r>
            <w:r>
              <w:rPr>
                <w:rFonts w:hint="eastAsia"/>
                <w:sz w:val="16"/>
                <w:szCs w:val="16"/>
              </w:rPr>
              <w:t>.</w:t>
            </w:r>
            <w:r>
              <w:rPr>
                <w:sz w:val="16"/>
                <w:szCs w:val="16"/>
              </w:rPr>
              <w:t>00</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66</w:t>
            </w:r>
            <w:r>
              <w:rPr>
                <w:rFonts w:hint="eastAsia"/>
                <w:sz w:val="16"/>
                <w:szCs w:val="16"/>
              </w:rPr>
              <w:t>.</w:t>
            </w:r>
            <w:r>
              <w:rPr>
                <w:sz w:val="16"/>
                <w:szCs w:val="16"/>
              </w:rPr>
              <w:t>00</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2210203</w:t>
            </w:r>
          </w:p>
        </w:tc>
        <w:tc>
          <w:tcPr>
            <w:tcW w:w="2522" w:type="dxa"/>
            <w:tcBorders>
              <w:top w:val="nil"/>
              <w:left w:val="nil"/>
              <w:bottom w:val="single" w:sz="4" w:space="0" w:color="auto"/>
              <w:right w:val="single" w:sz="4" w:space="0" w:color="auto"/>
            </w:tcBorders>
            <w:shd w:val="clear" w:color="auto" w:fill="auto"/>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xml:space="preserve">    购房补贴</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4</w:t>
            </w:r>
            <w:r>
              <w:rPr>
                <w:rFonts w:hint="eastAsia"/>
                <w:sz w:val="16"/>
                <w:szCs w:val="16"/>
              </w:rPr>
              <w:t>5.</w:t>
            </w:r>
            <w:r>
              <w:rPr>
                <w:sz w:val="16"/>
                <w:szCs w:val="16"/>
              </w:rPr>
              <w:t>7</w:t>
            </w:r>
            <w:r>
              <w:rPr>
                <w:rFonts w:hint="eastAsia"/>
                <w:sz w:val="16"/>
                <w:szCs w:val="16"/>
              </w:rPr>
              <w:t>8</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sz w:val="16"/>
                <w:szCs w:val="16"/>
              </w:rPr>
              <w:t>4</w:t>
            </w:r>
            <w:r>
              <w:rPr>
                <w:rFonts w:hint="eastAsia"/>
                <w:sz w:val="16"/>
                <w:szCs w:val="16"/>
              </w:rPr>
              <w:t>5.</w:t>
            </w:r>
            <w:r>
              <w:rPr>
                <w:sz w:val="16"/>
                <w:szCs w:val="16"/>
              </w:rPr>
              <w:t>7</w:t>
            </w:r>
            <w:r>
              <w:rPr>
                <w:rFonts w:hint="eastAsia"/>
                <w:sz w:val="16"/>
                <w:szCs w:val="16"/>
              </w:rPr>
              <w:t>8</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sz w:val="16"/>
                <w:szCs w:val="16"/>
              </w:rPr>
            </w:pPr>
            <w:r>
              <w:rPr>
                <w:rFonts w:hint="eastAsia"/>
                <w:sz w:val="16"/>
                <w:szCs w:val="16"/>
              </w:rPr>
              <w:t>　</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r>
        <w:trPr>
          <w:trHeight w:val="360"/>
        </w:trPr>
        <w:tc>
          <w:tcPr>
            <w:tcW w:w="1119" w:type="dxa"/>
            <w:tcBorders>
              <w:top w:val="nil"/>
              <w:left w:val="single" w:sz="4" w:space="0" w:color="auto"/>
              <w:bottom w:val="single" w:sz="4" w:space="0" w:color="auto"/>
              <w:right w:val="single" w:sz="4" w:space="0" w:color="auto"/>
            </w:tcBorders>
            <w:shd w:val="clear" w:color="auto" w:fill="auto"/>
            <w:noWrap/>
            <w:vAlign w:val="center"/>
          </w:tcPr>
          <w:p>
            <w:pPr>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　</w:t>
            </w:r>
          </w:p>
        </w:tc>
        <w:tc>
          <w:tcPr>
            <w:tcW w:w="2522" w:type="dxa"/>
            <w:tcBorders>
              <w:top w:val="nil"/>
              <w:left w:val="nil"/>
              <w:bottom w:val="single" w:sz="4" w:space="0" w:color="auto"/>
              <w:right w:val="single" w:sz="4" w:space="0" w:color="auto"/>
            </w:tcBorders>
            <w:shd w:val="clear" w:color="auto" w:fill="auto"/>
            <w:vAlign w:val="center"/>
          </w:tcPr>
          <w:p>
            <w:pPr>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合        计</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sz w:val="16"/>
                <w:szCs w:val="16"/>
              </w:rPr>
            </w:pPr>
            <w:r>
              <w:rPr>
                <w:rFonts w:hint="eastAsia"/>
                <w:b/>
                <w:bCs/>
                <w:sz w:val="16"/>
                <w:szCs w:val="16"/>
              </w:rPr>
              <w:t>1,</w:t>
            </w:r>
            <w:r>
              <w:rPr>
                <w:b/>
                <w:bCs/>
                <w:sz w:val="16"/>
                <w:szCs w:val="16"/>
              </w:rPr>
              <w:t>250</w:t>
            </w:r>
            <w:r>
              <w:rPr>
                <w:rFonts w:hint="eastAsia"/>
                <w:b/>
                <w:bCs/>
                <w:sz w:val="16"/>
                <w:szCs w:val="16"/>
              </w:rPr>
              <w:t>.</w:t>
            </w:r>
            <w:r>
              <w:rPr>
                <w:b/>
                <w:bCs/>
                <w:sz w:val="16"/>
                <w:szCs w:val="16"/>
              </w:rPr>
              <w:t>71</w:t>
            </w:r>
          </w:p>
        </w:tc>
        <w:tc>
          <w:tcPr>
            <w:tcW w:w="1332"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sz w:val="16"/>
                <w:szCs w:val="16"/>
              </w:rPr>
            </w:pPr>
            <w:r>
              <w:rPr>
                <w:rFonts w:hint="eastAsia"/>
                <w:b/>
                <w:bCs/>
                <w:sz w:val="16"/>
                <w:szCs w:val="16"/>
              </w:rPr>
              <w:t>1,</w:t>
            </w:r>
            <w:r>
              <w:rPr>
                <w:b/>
                <w:bCs/>
                <w:sz w:val="16"/>
                <w:szCs w:val="16"/>
              </w:rPr>
              <w:t>248</w:t>
            </w:r>
            <w:r>
              <w:rPr>
                <w:rFonts w:hint="eastAsia"/>
                <w:b/>
                <w:bCs/>
                <w:sz w:val="16"/>
                <w:szCs w:val="16"/>
              </w:rPr>
              <w:t>.</w:t>
            </w:r>
            <w:r>
              <w:rPr>
                <w:b/>
                <w:bCs/>
                <w:sz w:val="16"/>
                <w:szCs w:val="16"/>
              </w:rPr>
              <w:t>71</w:t>
            </w:r>
          </w:p>
        </w:tc>
        <w:tc>
          <w:tcPr>
            <w:tcW w:w="1132" w:type="dxa"/>
            <w:tcBorders>
              <w:top w:val="nil"/>
              <w:left w:val="nil"/>
              <w:bottom w:val="single" w:sz="4" w:space="0" w:color="auto"/>
              <w:right w:val="single" w:sz="4" w:space="0" w:color="auto"/>
            </w:tcBorders>
            <w:shd w:val="clear" w:color="auto" w:fill="auto"/>
            <w:noWrap/>
            <w:vAlign w:val="center"/>
          </w:tcPr>
          <w:p>
            <w:pPr>
              <w:jc w:val="right"/>
              <w:rPr>
                <w:rFonts w:ascii="宋体" w:cs="宋体"/>
                <w:b/>
                <w:bCs/>
                <w:sz w:val="16"/>
                <w:szCs w:val="16"/>
              </w:rPr>
            </w:pPr>
            <w:r>
              <w:rPr>
                <w:b/>
                <w:bCs/>
                <w:sz w:val="16"/>
                <w:szCs w:val="16"/>
              </w:rPr>
              <w:t>2</w:t>
            </w:r>
            <w:r>
              <w:rPr>
                <w:rFonts w:hint="eastAsia"/>
                <w:b/>
                <w:bCs/>
                <w:sz w:val="16"/>
                <w:szCs w:val="16"/>
              </w:rPr>
              <w:t>.</w:t>
            </w:r>
            <w:r>
              <w:rPr>
                <w:b/>
                <w:bCs/>
                <w:sz w:val="16"/>
                <w:szCs w:val="16"/>
              </w:rPr>
              <w:t>00</w:t>
            </w:r>
          </w:p>
        </w:tc>
        <w:tc>
          <w:tcPr>
            <w:tcW w:w="993"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93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b/>
                <w:color w:val="000000"/>
                <w:kern w:val="0"/>
                <w:sz w:val="20"/>
                <w:szCs w:val="20"/>
              </w:rPr>
            </w:pPr>
          </w:p>
        </w:tc>
        <w:tc>
          <w:tcPr>
            <w:tcW w:w="105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Times New Roman" w:hAnsi="Times New Roman"/>
                <w:color w:val="000000"/>
                <w:kern w:val="0"/>
                <w:sz w:val="20"/>
                <w:szCs w:val="20"/>
              </w:rPr>
            </w:pPr>
          </w:p>
        </w:tc>
      </w:tr>
    </w:tbl>
    <w:p>
      <w:pPr>
        <w:jc w:val="left"/>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2693" w:type="dxa"/>
            <w:tcBorders>
              <w:top w:val="nil"/>
              <w:left w:val="nil"/>
              <w:bottom w:val="nil"/>
              <w:right w:val="nil"/>
            </w:tcBorders>
            <w:shd w:val="clear" w:color="auto" w:fill="auto"/>
            <w:noWrap/>
            <w:vAlign w:val="center"/>
          </w:tcPr>
          <w:p>
            <w:pPr>
              <w:widowControl/>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540"/>
        </w:trPr>
        <w:tc>
          <w:tcPr>
            <w:tcW w:w="13892" w:type="dxa"/>
            <w:gridSpan w:val="4"/>
            <w:tcBorders>
              <w:top w:val="nil"/>
              <w:left w:val="nil"/>
              <w:bottom w:val="nil"/>
              <w:right w:val="nil"/>
            </w:tcBorders>
            <w:shd w:val="clear" w:color="auto" w:fill="auto"/>
            <w:noWrap/>
            <w:vAlign w:val="center"/>
          </w:tcPr>
          <w:p>
            <w:pPr>
              <w:widowControl/>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c>
          <w:tcPr>
            <w:tcW w:w="425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w:t>
            </w:r>
          </w:p>
        </w:tc>
        <w:tc>
          <w:tcPr>
            <w:tcW w:w="2693"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一、本年收入</w:t>
            </w:r>
          </w:p>
        </w:tc>
        <w:tc>
          <w:tcPr>
            <w:tcW w:w="2693" w:type="dxa"/>
            <w:tcBorders>
              <w:top w:val="nil"/>
              <w:left w:val="nil"/>
              <w:bottom w:val="single" w:sz="4" w:space="0" w:color="auto"/>
              <w:right w:val="single" w:sz="4" w:space="0" w:color="auto"/>
            </w:tcBorders>
            <w:shd w:val="clear" w:color="auto" w:fill="auto"/>
            <w:noWrap/>
          </w:tcPr>
          <w:p>
            <w:pPr>
              <w:jc w:val="right"/>
            </w:pPr>
            <w:r>
              <w:t>902.71</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一、本年支出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8"/>
                <w:szCs w:val="18"/>
              </w:rPr>
            </w:pPr>
            <w:r>
              <w:rPr>
                <w:color w:val="000000"/>
                <w:sz w:val="18"/>
                <w:szCs w:val="18"/>
              </w:rPr>
              <w:t>902.71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tcPr>
          <w:p>
            <w:pPr>
              <w:jc w:val="right"/>
            </w:pPr>
            <w:r>
              <w:t>902.71</w:t>
            </w: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8"/>
                <w:szCs w:val="18"/>
              </w:rPr>
            </w:pPr>
            <w:r>
              <w:rPr>
                <w:color w:val="000000"/>
                <w:sz w:val="18"/>
                <w:szCs w:val="18"/>
              </w:rPr>
              <w:t>794.62</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（二）外交支出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8"/>
                <w:szCs w:val="18"/>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pPr>
              <w:jc w:val="right"/>
              <w:rPr>
                <w:rFonts w:ascii="宋体" w:cs="宋体"/>
                <w:color w:val="000000"/>
                <w:sz w:val="18"/>
                <w:szCs w:val="18"/>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（四）教育支出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二、上年结转</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hint="eastAsia"/>
                <w:color w:val="000000"/>
                <w:sz w:val="18"/>
                <w:szCs w:val="18"/>
              </w:rPr>
              <w:t>46.31</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color w:val="000000"/>
                <w:sz w:val="18"/>
                <w:szCs w:val="18"/>
              </w:rPr>
              <w:t>61</w:t>
            </w:r>
            <w:r>
              <w:rPr>
                <w:rFonts w:hint="eastAsia"/>
                <w:color w:val="000000"/>
                <w:sz w:val="18"/>
                <w:szCs w:val="18"/>
              </w:rPr>
              <w:t>.</w:t>
            </w:r>
            <w:r>
              <w:rPr>
                <w:color w:val="000000"/>
                <w:sz w:val="18"/>
                <w:szCs w:val="18"/>
              </w:rPr>
              <w:t>7</w:t>
            </w:r>
            <w:r>
              <w:rPr>
                <w:rFonts w:hint="eastAsia"/>
                <w:color w:val="000000"/>
                <w:sz w:val="18"/>
                <w:szCs w:val="18"/>
              </w:rPr>
              <w:t>8</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color w:val="000000"/>
                <w:kern w:val="0"/>
                <w:sz w:val="20"/>
                <w:szCs w:val="20"/>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    总    计</w:t>
            </w:r>
          </w:p>
        </w:tc>
        <w:tc>
          <w:tcPr>
            <w:tcW w:w="2693"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902.71</w:t>
            </w: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    总    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color w:val="000000"/>
                <w:kern w:val="0"/>
                <w:sz w:val="20"/>
                <w:szCs w:val="20"/>
              </w:rPr>
            </w:pPr>
            <w:r>
              <w:rPr>
                <w:color w:val="000000"/>
                <w:sz w:val="18"/>
                <w:szCs w:val="18"/>
              </w:rPr>
              <w:t>902</w:t>
            </w:r>
            <w:r>
              <w:rPr>
                <w:rFonts w:hint="eastAsia"/>
                <w:color w:val="000000"/>
                <w:sz w:val="18"/>
                <w:szCs w:val="18"/>
              </w:rPr>
              <w:t>.7</w:t>
            </w:r>
            <w:r>
              <w:rPr>
                <w:color w:val="000000"/>
                <w:sz w:val="18"/>
                <w:szCs w:val="18"/>
              </w:rPr>
              <w:t>1</w:t>
            </w:r>
          </w:p>
        </w:tc>
      </w:tr>
    </w:tbl>
    <w:p>
      <w:pPr>
        <w:jc w:val="left"/>
        <w:rPr>
          <w:rFonts w:ascii="Times New Roman" w:eastAsia="方正仿宋_GBK" w:hAnsi="Times New Roman"/>
          <w:sz w:val="32"/>
          <w:szCs w:val="32"/>
        </w:rPr>
      </w:pPr>
    </w:p>
    <w:p>
      <w:pPr>
        <w:jc w:val="left"/>
        <w:rPr>
          <w:rFonts w:ascii="Times New Roman" w:eastAsia="方正仿宋_GBK" w:hAnsi="Times New Roman"/>
          <w:sz w:val="32"/>
          <w:szCs w:val="32"/>
        </w:rPr>
      </w:pPr>
      <w:r>
        <w:rPr>
          <w:rFonts w:ascii="Times New Roman" w:eastAsia="方正仿宋_GBK" w:hAnsi="Times New Roman"/>
          <w:sz w:val="32"/>
          <w:szCs w:val="32"/>
        </w:rPr>
        <w:br w:type="page"/>
      </w:r>
    </w:p>
    <w:tbl>
      <w:tblPr>
        <w:tblpPr w:leftFromText="181" w:rightFromText="181" w:horzAnchor="margin" w:tblpXSpec="center" w:tblpYSpec="center"/>
        <w:tblW w:w="14896"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4896"/>
      </w:tblGrid>
      <w:tr>
        <w:trPr>
          <w:trHeight w:val="320"/>
        </w:trPr>
        <w:tc>
          <w:tcPr>
            <w:tcW w:w="14896" w:type="dxa"/>
            <w:tcBorders>
              <w:top w:val="nil"/>
              <w:left w:val="nil"/>
              <w:bottom w:val="nil"/>
              <w:right w:val="nil"/>
            </w:tcBorders>
            <w:shd w:val="clear" w:color="auto" w:fill="auto"/>
            <w:vAlign w:val="center"/>
          </w:tcPr>
          <w:p>
            <w:pPr>
              <w:widowControl/>
              <w:jc w:val="right"/>
              <w:rPr>
                <w:rFonts w:ascii="Times New Roman" w:cs="宋体" w:hAnsi="Times New Roman"/>
                <w:kern w:val="0"/>
                <w:sz w:val="36"/>
                <w:szCs w:val="36"/>
              </w:rPr>
            </w:pPr>
            <w:r>
              <w:rPr>
                <w:rFonts w:ascii="Times New Roman" w:eastAsia="黑体" w:cs="黑体" w:hAnsi="Times New Roman" w:hint="eastAsia"/>
                <w:kern w:val="0"/>
                <w:sz w:val="20"/>
                <w:szCs w:val="20"/>
              </w:rPr>
              <w:t>部门公开表5</w:t>
            </w:r>
          </w:p>
        </w:tc>
      </w:tr>
      <w:tr>
        <w:trPr>
          <w:trHeight w:val="7332"/>
        </w:trPr>
        <w:tc>
          <w:tcPr>
            <w:tcW w:w="14896" w:type="dxa"/>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一般公共预算支出表</w:t>
            </w:r>
          </w:p>
          <w:tbl>
            <w:tblPr>
              <w:jc w:val="lef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230"/>
              <w:gridCol w:w="2675"/>
              <w:gridCol w:w="2082"/>
              <w:gridCol w:w="1867"/>
              <w:gridCol w:w="2010"/>
              <w:gridCol w:w="1948"/>
              <w:gridCol w:w="2764"/>
            </w:tblGrid>
            <w:tr>
              <w:trPr>
                <w:trHeight w:val="294"/>
              </w:trPr>
              <w:tc>
                <w:tcPr>
                  <w:tcW w:w="11812" w:type="dxa"/>
                  <w:gridSpan w:val="6"/>
                  <w:tcBorders>
                    <w:top w:val="nil"/>
                    <w:left w:val="nil"/>
                    <w:bottom w:val="nil"/>
                    <w:right w:val="nil"/>
                    <w:tl2br w:val="nil"/>
                    <w:tr2bl w:val="nil"/>
                  </w:tcBorders>
                  <w:noWrap/>
                  <w:vAlign w:val="center"/>
                </w:tcPr>
                <w:p>
                  <w:pPr>
                    <w:rPr>
                      <w:rFonts w:ascii="宋体" w:cs="宋体"/>
                      <w:color w:val="000000"/>
                      <w:sz w:val="20"/>
                    </w:rPr>
                  </w:pPr>
                </w:p>
              </w:tc>
              <w:tc>
                <w:tcPr>
                  <w:tcW w:w="2764" w:type="dxa"/>
                  <w:tcBorders>
                    <w:top w:val="nil"/>
                    <w:left w:val="nil"/>
                    <w:bottom w:val="nil"/>
                    <w:right w:val="nil"/>
                    <w:tl2br w:val="nil"/>
                    <w:tr2bl w:val="nil"/>
                  </w:tcBorders>
                  <w:noWrap/>
                  <w:vAlign w:val="center"/>
                </w:tcPr>
                <w:p>
                  <w:pPr>
                    <w:jc w:val="right"/>
                    <w:rPr>
                      <w:rFonts w:ascii="宋体" w:cs="宋体"/>
                      <w:color w:val="000000"/>
                      <w:sz w:val="20"/>
                    </w:rPr>
                  </w:pPr>
                  <w:r>
                    <w:rPr>
                      <w:rFonts w:ascii="宋体" w:cs="宋体"/>
                      <w:color w:val="000000"/>
                      <w:sz w:val="20"/>
                    </w:rPr>
                    <w:t>单位：万元</w:t>
                  </w:r>
                </w:p>
              </w:tc>
            </w:tr>
            <w:tr>
              <w:trPr>
                <w:trHeight w:val="304"/>
              </w:trPr>
              <w:tc>
                <w:tcPr>
                  <w:tcW w:w="1230"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科目代码</w:t>
                  </w:r>
                </w:p>
              </w:tc>
              <w:tc>
                <w:tcPr>
                  <w:tcW w:w="2675"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科目名称</w:t>
                  </w:r>
                </w:p>
              </w:tc>
              <w:tc>
                <w:tcPr>
                  <w:tcW w:w="10671" w:type="dxa"/>
                  <w:gridSpan w:val="5"/>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本年一般公共预算支出</w:t>
                  </w:r>
                </w:p>
              </w:tc>
            </w:tr>
            <w:tr>
              <w:trPr>
                <w:trHeight w:val="304"/>
              </w:trPr>
              <w:tc>
                <w:tcPr>
                  <w:tcW w:w="1230" w:type="dxa"/>
                  <w:vMerge/>
                  <w:tcBorders>
                    <w:top w:val="nil"/>
                    <w:left w:val="single" w:sz="6" w:space="0" w:color="000000"/>
                    <w:bottom w:val="nil"/>
                    <w:right w:val="single" w:sz="6" w:space="0" w:color="000000"/>
                    <w:tl2br w:val="nil"/>
                    <w:tr2bl w:val="nil"/>
                  </w:tcBorders>
                  <w:noWrap/>
                  <w:vAlign w:val="bottom"/>
                </w:tcPr>
                <w:p/>
              </w:tc>
              <w:tc>
                <w:tcPr>
                  <w:tcW w:w="2675" w:type="dxa"/>
                  <w:vMerge/>
                  <w:tcBorders>
                    <w:top w:val="nil"/>
                    <w:left w:val="single" w:sz="6" w:space="0" w:color="000000"/>
                    <w:bottom w:val="nil"/>
                    <w:right w:val="single" w:sz="6" w:space="0" w:color="000000"/>
                    <w:tl2br w:val="nil"/>
                    <w:tr2bl w:val="nil"/>
                  </w:tcBorders>
                  <w:noWrap/>
                  <w:vAlign w:val="bottom"/>
                </w:tcPr>
                <w:p/>
              </w:tc>
              <w:tc>
                <w:tcPr>
                  <w:tcW w:w="2082"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合计</w:t>
                  </w:r>
                </w:p>
              </w:tc>
              <w:tc>
                <w:tcPr>
                  <w:tcW w:w="5825"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基本支出</w:t>
                  </w:r>
                </w:p>
              </w:tc>
              <w:tc>
                <w:tcPr>
                  <w:tcW w:w="2764" w:type="dxa"/>
                  <w:vMerge w:val="restart"/>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项目支出</w:t>
                  </w:r>
                </w:p>
              </w:tc>
            </w:tr>
            <w:tr>
              <w:trPr>
                <w:trHeight w:val="304"/>
              </w:trPr>
              <w:tc>
                <w:tcPr>
                  <w:tcW w:w="1230" w:type="dxa"/>
                  <w:vMerge/>
                  <w:tcBorders>
                    <w:top w:val="nil"/>
                    <w:left w:val="single" w:sz="6" w:space="0" w:color="000000"/>
                    <w:bottom w:val="single" w:sz="6" w:space="0" w:color="000000"/>
                    <w:right w:val="single" w:sz="6" w:space="0" w:color="000000"/>
                    <w:tl2br w:val="nil"/>
                    <w:tr2bl w:val="nil"/>
                  </w:tcBorders>
                  <w:noWrap/>
                  <w:vAlign w:val="bottom"/>
                </w:tcPr>
                <w:p/>
              </w:tc>
              <w:tc>
                <w:tcPr>
                  <w:tcW w:w="2675" w:type="dxa"/>
                  <w:vMerge/>
                  <w:tcBorders>
                    <w:top w:val="nil"/>
                    <w:left w:val="single" w:sz="6" w:space="0" w:color="000000"/>
                    <w:bottom w:val="single" w:sz="6" w:space="0" w:color="000000"/>
                    <w:right w:val="single" w:sz="6" w:space="0" w:color="000000"/>
                    <w:tl2br w:val="nil"/>
                    <w:tr2bl w:val="nil"/>
                  </w:tcBorders>
                  <w:noWrap/>
                  <w:vAlign w:val="bottom"/>
                </w:tcPr>
                <w:p/>
              </w:tc>
              <w:tc>
                <w:tcPr>
                  <w:tcW w:w="2082" w:type="dxa"/>
                  <w:vMerge/>
                  <w:tcBorders>
                    <w:top w:val="nil"/>
                    <w:left w:val="single" w:sz="6" w:space="0" w:color="000000"/>
                    <w:bottom w:val="single" w:sz="6" w:space="0" w:color="000000"/>
                    <w:right w:val="single" w:sz="6" w:space="0" w:color="000000"/>
                    <w:tl2br w:val="nil"/>
                    <w:tr2bl w:val="nil"/>
                  </w:tcBorders>
                  <w:noWrap/>
                  <w:vAlign w:val="bottom"/>
                </w:tcP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小计</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人员经费</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20"/>
                    </w:rPr>
                  </w:pPr>
                  <w:r>
                    <w:rPr>
                      <w:rFonts w:ascii="宋体" w:cs="宋体"/>
                      <w:color w:val="000000"/>
                      <w:sz w:val="20"/>
                    </w:rPr>
                    <w:t>公用经费</w:t>
                  </w:r>
                </w:p>
              </w:tc>
              <w:tc>
                <w:tcPr>
                  <w:tcW w:w="2764" w:type="dxa"/>
                  <w:vMerge/>
                  <w:tcBorders>
                    <w:top w:val="nil"/>
                    <w:left w:val="single" w:sz="6" w:space="0" w:color="000000"/>
                    <w:bottom w:val="single" w:sz="6" w:space="0" w:color="000000"/>
                    <w:right w:val="single" w:sz="6" w:space="0" w:color="000000"/>
                    <w:tl2br w:val="nil"/>
                    <w:tr2bl w:val="nil"/>
                  </w:tcBorders>
                  <w:noWrap/>
                  <w:vAlign w:val="bottom"/>
                </w:tc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201</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一般公共服务支出</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794.62</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792.62</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510.00</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282.62</w:t>
                  </w: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2.00</w:t>
                  </w: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20109</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海关事务</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794.62</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792.62</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510.00</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282.62</w:t>
                  </w: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2.00</w:t>
                  </w: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2010909</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海关关务</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2.00</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2.00</w:t>
                  </w: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2010950</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事业运行</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792.62</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792.62</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510.00</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282.62</w:t>
                  </w: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208</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社会保障和就业支出</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46.31</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46.31</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46.31</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20805</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行政事业单位养老支出</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46.31</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46.31</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46.31</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59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2080505</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机关事业单位基本养老保险缴费支出</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31.10</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31.10</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31.10</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59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2080506</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机关事业单位职业年金缴费支出</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15.21</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15.21</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15.21</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221</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住房保障支出</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61.78</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61.78</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61.78</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22102</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住房改革支出</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61.78</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61.78</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61.78</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2210201</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住房公积金</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26.60</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26.60</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26.60</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2210203</w:t>
                  </w: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sz w:val="20"/>
                    </w:rPr>
                  </w:pPr>
                  <w:r>
                    <w:rPr>
                      <w:rFonts w:ascii="宋体" w:cs="宋体"/>
                      <w:sz w:val="20"/>
                    </w:rPr>
                    <w:t>购房补贴</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35.18</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35.18</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r>
                    <w:rPr>
                      <w:rFonts w:ascii="宋体" w:cs="宋体"/>
                      <w:sz w:val="20"/>
                    </w:rPr>
                    <w:t>35.18</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sz w:val="20"/>
                    </w:rPr>
                  </w:pPr>
                </w:p>
              </w:tc>
            </w:tr>
            <w:tr>
              <w:trPr>
                <w:trHeight w:val="304"/>
              </w:trPr>
              <w:tc>
                <w:tcPr>
                  <w:tcW w:w="123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b/>
                      <w:sz w:val="20"/>
                    </w:rPr>
                  </w:pPr>
                </w:p>
              </w:tc>
              <w:tc>
                <w:tcPr>
                  <w:tcW w:w="2675" w:type="dxa"/>
                  <w:tcBorders>
                    <w:top w:val="single" w:sz="6" w:space="0" w:color="000000"/>
                    <w:left w:val="single" w:sz="6" w:space="0" w:color="000000"/>
                    <w:bottom w:val="single" w:sz="6" w:space="0" w:color="000000"/>
                    <w:right w:val="single" w:sz="6" w:space="0" w:color="000000"/>
                    <w:tl2br w:val="nil"/>
                    <w:tr2bl w:val="nil"/>
                  </w:tcBorders>
                  <w:noWrap/>
                  <w:vAlign w:val="bottom"/>
                </w:tcPr>
                <w:p>
                  <w:pPr>
                    <w:jc w:val="center"/>
                    <w:rPr>
                      <w:rFonts w:eastAsia="Calibri" w:cs="宋体"/>
                      <w:b/>
                      <w:sz w:val="20"/>
                    </w:rPr>
                  </w:pPr>
                  <w:r>
                    <w:rPr>
                      <w:rFonts w:eastAsia="Calibri" w:cs="宋体"/>
                      <w:b/>
                      <w:sz w:val="20"/>
                    </w:rPr>
                    <w:t>合               计</w:t>
                  </w:r>
                </w:p>
              </w:tc>
              <w:tc>
                <w:tcPr>
                  <w:tcW w:w="2082"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20"/>
                    </w:rPr>
                  </w:pPr>
                  <w:r>
                    <w:rPr>
                      <w:rFonts w:ascii="宋体" w:cs="宋体"/>
                      <w:b/>
                      <w:sz w:val="20"/>
                    </w:rPr>
                    <w:t>902.71</w:t>
                  </w:r>
                </w:p>
              </w:tc>
              <w:tc>
                <w:tcPr>
                  <w:tcW w:w="18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20"/>
                    </w:rPr>
                  </w:pPr>
                  <w:r>
                    <w:rPr>
                      <w:rFonts w:ascii="宋体" w:cs="宋体"/>
                      <w:b/>
                      <w:sz w:val="20"/>
                    </w:rPr>
                    <w:t>900.71</w:t>
                  </w:r>
                </w:p>
              </w:tc>
              <w:tc>
                <w:tcPr>
                  <w:tcW w:w="201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20"/>
                    </w:rPr>
                  </w:pPr>
                  <w:r>
                    <w:rPr>
                      <w:rFonts w:ascii="宋体" w:cs="宋体"/>
                      <w:b/>
                      <w:sz w:val="20"/>
                    </w:rPr>
                    <w:t>618.09</w:t>
                  </w:r>
                </w:p>
              </w:tc>
              <w:tc>
                <w:tcPr>
                  <w:tcW w:w="1948"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20"/>
                    </w:rPr>
                  </w:pPr>
                  <w:r>
                    <w:rPr>
                      <w:rFonts w:ascii="宋体" w:cs="宋体"/>
                      <w:b/>
                      <w:sz w:val="20"/>
                    </w:rPr>
                    <w:t>282.62</w:t>
                  </w:r>
                </w:p>
              </w:tc>
              <w:tc>
                <w:tcPr>
                  <w:tcW w:w="276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20"/>
                    </w:rPr>
                  </w:pPr>
                  <w:r>
                    <w:rPr>
                      <w:rFonts w:ascii="宋体" w:cs="宋体"/>
                      <w:b/>
                      <w:sz w:val="20"/>
                    </w:rPr>
                    <w:t>2.00</w:t>
                  </w:r>
                </w:p>
              </w:tc>
            </w:tr>
            <w:tr>
              <w:trPr>
                <w:trHeight w:val="318"/>
              </w:trPr>
              <w:tc>
                <w:tcPr>
                  <w:tcW w:w="14576" w:type="dxa"/>
                  <w:gridSpan w:val="7"/>
                  <w:tcBorders>
                    <w:top w:val="single" w:sz="6" w:space="0" w:color="000000"/>
                    <w:left w:val="nil"/>
                    <w:bottom w:val="single" w:sz="6" w:space="0" w:color="000000"/>
                    <w:right w:val="nil"/>
                    <w:tl2br w:val="nil"/>
                    <w:tr2bl w:val="nil"/>
                  </w:tcBorders>
                  <w:noWrap/>
                  <w:vAlign w:val="center"/>
                </w:tcPr>
                <w:p>
                  <w:pPr>
                    <w:jc w:val="center"/>
                    <w:rPr>
                      <w:rFonts w:ascii="宋体"/>
                      <w:b/>
                      <w:sz w:val="20"/>
                    </w:rPr>
                  </w:pPr>
                </w:p>
                <w:p>
                  <w:pPr>
                    <w:jc w:val="center"/>
                    <w:rPr>
                      <w:rFonts w:ascii="宋体"/>
                      <w:b/>
                      <w:sz w:val="20"/>
                    </w:rPr>
                  </w:pPr>
                </w:p>
                <w:p>
                  <w:pPr>
                    <w:rPr>
                      <w:rFonts w:ascii="宋体"/>
                      <w:b/>
                      <w:sz w:val="20"/>
                    </w:rPr>
                  </w:pPr>
                </w:p>
              </w:tc>
            </w:tr>
          </w:tbl>
          <w:p>
            <w:pPr>
              <w:widowControl/>
              <w:jc w:val="center"/>
              <w:rPr>
                <w:rFonts w:ascii="Times New Roman" w:cs="宋体" w:hAnsi="Times New Roman"/>
                <w:kern w:val="0"/>
                <w:sz w:val="36"/>
                <w:szCs w:val="36"/>
              </w:rPr>
            </w:pPr>
            <w:r>
              <w:rPr>
                <w:rFonts w:ascii="Times New Roman" w:cs="宋体" w:hAnsi="Times New Roman"/>
                <w:kern w:val="0"/>
                <w:sz w:val="36"/>
                <w:szCs w:val="36"/>
              </w:rPr>
              <w:tab/>
              <w:tab/>
              <w:tab/>
              <w:tab/>
              <w:t xml:space="preserve">                                                               </w:t>
            </w:r>
            <w:r>
              <w:rPr>
                <w:rFonts w:ascii="黑体" w:eastAsia="黑体" w:cs="宋体" w:hint="eastAsia"/>
                <w:kern w:val="0"/>
                <w:sz w:val="20"/>
                <w:szCs w:val="20"/>
              </w:rPr>
              <w:t>部门公开表6</w:t>
            </w:r>
          </w:p>
          <w:p>
            <w:pPr>
              <w:widowControl/>
              <w:jc w:val="center"/>
              <w:rPr>
                <w:rFonts w:ascii="Times New Roman" w:cs="宋体" w:hAnsi="Times New Roman"/>
                <w:kern w:val="0"/>
                <w:sz w:val="36"/>
                <w:szCs w:val="36"/>
              </w:rPr>
            </w:pPr>
            <w:r>
              <w:rPr>
                <w:rFonts w:ascii="Times New Roman" w:cs="宋体" w:hAnsi="Times New Roman"/>
                <w:kern w:val="0"/>
                <w:sz w:val="36"/>
                <w:szCs w:val="36"/>
              </w:rPr>
              <w:t>一般公共</w:t>
            </w:r>
            <w:r>
              <w:rPr>
                <w:rFonts w:ascii="Times New Roman" w:cs="宋体" w:hAnsi="Times New Roman" w:hint="eastAsia"/>
                <w:kern w:val="0"/>
                <w:sz w:val="36"/>
                <w:szCs w:val="36"/>
              </w:rPr>
              <w:t>预算</w:t>
            </w:r>
            <w:r>
              <w:rPr>
                <w:rFonts w:ascii="Times New Roman" w:cs="宋体" w:hAnsi="Times New Roman"/>
                <w:kern w:val="0"/>
                <w:sz w:val="36"/>
                <w:szCs w:val="36"/>
              </w:rPr>
              <w:t>基本</w:t>
            </w:r>
            <w:r>
              <w:rPr>
                <w:rFonts w:ascii="Times New Roman" w:cs="宋体" w:hAnsi="Times New Roman" w:hint="eastAsia"/>
                <w:kern w:val="0"/>
                <w:sz w:val="36"/>
                <w:szCs w:val="36"/>
              </w:rPr>
              <w:t>支出表</w:t>
            </w:r>
          </w:p>
          <w:tbl>
            <w:tblPr>
              <w:jc w:val="left"/>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1567"/>
              <w:gridCol w:w="4494"/>
              <w:gridCol w:w="2873"/>
              <w:gridCol w:w="2874"/>
              <w:gridCol w:w="2874"/>
            </w:tblGrid>
            <w:tr>
              <w:trPr>
                <w:trHeight w:val="263"/>
              </w:trPr>
              <w:tc>
                <w:tcPr>
                  <w:tcW w:w="11808" w:type="dxa"/>
                  <w:gridSpan w:val="4"/>
                  <w:tcBorders>
                    <w:top w:val="nil"/>
                    <w:left w:val="nil"/>
                    <w:bottom w:val="nil"/>
                    <w:right w:val="nil"/>
                    <w:tl2br w:val="nil"/>
                    <w:tr2bl w:val="nil"/>
                  </w:tcBorders>
                  <w:noWrap/>
                  <w:vAlign w:val="center"/>
                </w:tcPr>
                <w:p>
                  <w:pPr>
                    <w:rPr>
                      <w:rFonts w:ascii="宋体" w:cs="宋体"/>
                      <w:sz w:val="16"/>
                    </w:rPr>
                  </w:pPr>
                </w:p>
              </w:tc>
              <w:tc>
                <w:tcPr>
                  <w:tcW w:w="2874" w:type="dxa"/>
                  <w:tcBorders>
                    <w:top w:val="nil"/>
                    <w:left w:val="nil"/>
                    <w:bottom w:val="nil"/>
                    <w:right w:val="nil"/>
                    <w:tl2br w:val="nil"/>
                    <w:tr2bl w:val="nil"/>
                  </w:tcBorders>
                  <w:noWrap/>
                  <w:vAlign w:val="center"/>
                </w:tcPr>
                <w:p>
                  <w:pPr>
                    <w:jc w:val="right"/>
                    <w:rPr>
                      <w:rFonts w:ascii="宋体" w:cs="宋体"/>
                      <w:color w:val="000000"/>
                      <w:sz w:val="16"/>
                    </w:rPr>
                  </w:pPr>
                  <w:r>
                    <w:rPr>
                      <w:rFonts w:ascii="宋体" w:cs="宋体"/>
                      <w:color w:val="000000"/>
                      <w:sz w:val="16"/>
                    </w:rPr>
                    <w:t>单位：万元</w:t>
                  </w:r>
                </w:p>
              </w:tc>
            </w:tr>
            <w:tr>
              <w:trPr>
                <w:trHeight w:val="263"/>
              </w:trPr>
              <w:tc>
                <w:tcPr>
                  <w:tcW w:w="6061" w:type="dxa"/>
                  <w:gridSpan w:val="2"/>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6"/>
                    </w:rPr>
                  </w:pPr>
                  <w:r>
                    <w:rPr>
                      <w:rFonts w:ascii="宋体" w:cs="宋体"/>
                      <w:color w:val="000000"/>
                      <w:sz w:val="16"/>
                    </w:rPr>
                    <w:t>部门预算支出经济分类科目</w:t>
                  </w:r>
                </w:p>
              </w:tc>
              <w:tc>
                <w:tcPr>
                  <w:tcW w:w="8621" w:type="dxa"/>
                  <w:gridSpan w:val="3"/>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6"/>
                    </w:rPr>
                  </w:pPr>
                  <w:r>
                    <w:rPr>
                      <w:rFonts w:ascii="宋体" w:cs="宋体"/>
                      <w:color w:val="000000"/>
                      <w:sz w:val="16"/>
                    </w:rPr>
                    <w:t>本年一般公共预算基本支出</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6"/>
                    </w:rPr>
                  </w:pPr>
                  <w:r>
                    <w:rPr>
                      <w:rFonts w:ascii="宋体" w:cs="宋体"/>
                      <w:color w:val="000000"/>
                      <w:sz w:val="16"/>
                    </w:rPr>
                    <w:t>科目代码</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6"/>
                    </w:rPr>
                  </w:pPr>
                  <w:r>
                    <w:rPr>
                      <w:rFonts w:ascii="宋体" w:cs="宋体"/>
                      <w:color w:val="000000"/>
                      <w:sz w:val="16"/>
                    </w:rPr>
                    <w:t>科目名称</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6"/>
                    </w:rPr>
                  </w:pPr>
                  <w:r>
                    <w:rPr>
                      <w:rFonts w:ascii="宋体" w:cs="宋体"/>
                      <w:color w:val="000000"/>
                      <w:sz w:val="16"/>
                    </w:rPr>
                    <w:t>合计</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6"/>
                    </w:rPr>
                  </w:pPr>
                  <w:r>
                    <w:rPr>
                      <w:rFonts w:ascii="宋体" w:cs="宋体"/>
                      <w:color w:val="000000"/>
                      <w:sz w:val="16"/>
                    </w:rPr>
                    <w:t>人员经费</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color w:val="000000"/>
                      <w:sz w:val="16"/>
                    </w:rPr>
                  </w:pPr>
                  <w:r>
                    <w:rPr>
                      <w:rFonts w:ascii="宋体" w:cs="宋体"/>
                      <w:color w:val="000000"/>
                      <w:sz w:val="16"/>
                    </w:rPr>
                    <w:t>公用经费</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b/>
                      <w:color w:val="000000"/>
                      <w:sz w:val="16"/>
                    </w:rPr>
                  </w:pPr>
                  <w:r>
                    <w:rPr>
                      <w:rFonts w:ascii="宋体" w:cs="宋体"/>
                      <w:b/>
                      <w:color w:val="000000"/>
                      <w:sz w:val="16"/>
                    </w:rPr>
                    <w:t>301</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b/>
                      <w:color w:val="000000"/>
                      <w:sz w:val="16"/>
                    </w:rPr>
                  </w:pPr>
                  <w:r>
                    <w:rPr>
                      <w:rFonts w:ascii="宋体" w:cs="宋体"/>
                      <w:b/>
                      <w:color w:val="000000"/>
                      <w:sz w:val="16"/>
                    </w:rPr>
                    <w:t>工资福利支出</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color w:val="000000"/>
                      <w:sz w:val="16"/>
                    </w:rPr>
                  </w:pPr>
                  <w:r>
                    <w:rPr>
                      <w:rFonts w:ascii="宋体" w:cs="宋体"/>
                      <w:b/>
                      <w:color w:val="000000"/>
                      <w:sz w:val="16"/>
                    </w:rPr>
                    <w:t>618.09</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color w:val="000000"/>
                      <w:sz w:val="16"/>
                    </w:rPr>
                  </w:pPr>
                  <w:r>
                    <w:rPr>
                      <w:rFonts w:ascii="宋体" w:cs="宋体"/>
                      <w:b/>
                      <w:color w:val="000000"/>
                      <w:sz w:val="16"/>
                    </w:rPr>
                    <w:t>618.09</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color w:val="000000"/>
                      <w:sz w:val="16"/>
                    </w:rPr>
                  </w:pP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30101</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基本工资</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150.00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150.00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30102</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津贴补贴</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295.18</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295.18</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30107</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绩效工资</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100.00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100.00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30108</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机关事业单位基本养老保险缴费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31.10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31.10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30109</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职业年金缴费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15.21</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15.21</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30113</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住房公积金</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26.60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26.60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b/>
                      <w:color w:val="000000"/>
                      <w:sz w:val="16"/>
                    </w:rPr>
                  </w:pPr>
                  <w:r>
                    <w:rPr>
                      <w:rFonts w:ascii="宋体" w:cs="宋体"/>
                      <w:b/>
                      <w:color w:val="000000"/>
                      <w:sz w:val="16"/>
                    </w:rPr>
                    <w:t>302</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b/>
                      <w:color w:val="000000"/>
                      <w:sz w:val="16"/>
                    </w:rPr>
                  </w:pPr>
                  <w:r>
                    <w:rPr>
                      <w:rFonts w:ascii="宋体" w:cs="宋体"/>
                      <w:b/>
                      <w:color w:val="000000"/>
                      <w:sz w:val="16"/>
                    </w:rPr>
                    <w:t>商品和服务支出</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color w:val="000000"/>
                      <w:sz w:val="16"/>
                    </w:rPr>
                  </w:pPr>
                  <w:r>
                    <w:rPr>
                      <w:rFonts w:ascii="宋体" w:cs="宋体"/>
                      <w:b/>
                      <w:color w:val="000000"/>
                      <w:sz w:val="16"/>
                    </w:rPr>
                    <w:t>282.62</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color w:val="000000"/>
                      <w:sz w:val="16"/>
                    </w:rPr>
                  </w:pPr>
                  <w:r>
                    <w:rPr>
                      <w:rFonts w:ascii="宋体" w:cs="宋体"/>
                      <w:b/>
                      <w:color w:val="000000"/>
                      <w:sz w:val="16"/>
                    </w:rPr>
                    <w:t>282.62</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30201</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办公费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12.62</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12.62</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30207</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邮电费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3.00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3.00</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30211</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差旅费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12.00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12.00</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30213</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维修（护）费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215.00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215.00</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30228</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工会经费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12.00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12.00</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30229</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福利费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13.00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13.00</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30231</w:t>
                  </w: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cs="宋体"/>
                      <w:color w:val="000000"/>
                      <w:sz w:val="16"/>
                    </w:rPr>
                  </w:pPr>
                  <w:r>
                    <w:rPr>
                      <w:rFonts w:ascii="宋体" w:cs="宋体"/>
                      <w:color w:val="000000"/>
                      <w:sz w:val="16"/>
                    </w:rPr>
                    <w:t>公务用车运行维护费</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15.00</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color w:val="000000"/>
                      <w:sz w:val="16"/>
                    </w:rPr>
                  </w:pPr>
                  <w:r>
                    <w:rPr>
                      <w:rFonts w:ascii="宋体" w:cs="宋体"/>
                      <w:color w:val="000000"/>
                      <w:sz w:val="16"/>
                    </w:rPr>
                    <w:t>15.00</w:t>
                  </w:r>
                </w:p>
              </w:tc>
            </w:tr>
            <w:tr>
              <w:trPr>
                <w:trHeight w:val="263"/>
              </w:trPr>
              <w:tc>
                <w:tcPr>
                  <w:tcW w:w="1567" w:type="dxa"/>
                  <w:tcBorders>
                    <w:top w:val="single" w:sz="6" w:space="0" w:color="000000"/>
                    <w:left w:val="single" w:sz="6" w:space="0" w:color="000000"/>
                    <w:bottom w:val="single" w:sz="6" w:space="0" w:color="000000"/>
                    <w:right w:val="single" w:sz="6" w:space="0" w:color="000000"/>
                    <w:tl2br w:val="nil"/>
                    <w:tr2bl w:val="nil"/>
                  </w:tcBorders>
                  <w:noWrap/>
                  <w:vAlign w:val="center"/>
                </w:tcPr>
                <w:p>
                  <w:pPr>
                    <w:rPr>
                      <w:rFonts w:ascii="宋体"/>
                      <w:sz w:val="20"/>
                    </w:rPr>
                  </w:pPr>
                </w:p>
              </w:tc>
              <w:tc>
                <w:tcPr>
                  <w:tcW w:w="449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cs="宋体"/>
                      <w:b/>
                      <w:sz w:val="16"/>
                    </w:rPr>
                  </w:pPr>
                  <w:r>
                    <w:rPr>
                      <w:rFonts w:ascii="宋体" w:cs="宋体"/>
                      <w:b/>
                      <w:sz w:val="16"/>
                    </w:rPr>
                    <w:t>合        计</w:t>
                  </w:r>
                </w:p>
              </w:tc>
              <w:tc>
                <w:tcPr>
                  <w:tcW w:w="2873"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16"/>
                    </w:rPr>
                  </w:pPr>
                  <w:r>
                    <w:rPr>
                      <w:rFonts w:ascii="宋体" w:cs="宋体"/>
                      <w:b/>
                      <w:sz w:val="16"/>
                    </w:rPr>
                    <w:t>900.71</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16"/>
                    </w:rPr>
                  </w:pPr>
                  <w:r>
                    <w:rPr>
                      <w:rFonts w:ascii="宋体" w:cs="宋体"/>
                      <w:b/>
                      <w:sz w:val="16"/>
                    </w:rPr>
                    <w:t>618.09</w:t>
                  </w:r>
                </w:p>
              </w:tc>
              <w:tc>
                <w:tcPr>
                  <w:tcW w:w="2874"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cs="宋体"/>
                      <w:b/>
                      <w:sz w:val="16"/>
                    </w:rPr>
                  </w:pPr>
                  <w:r>
                    <w:rPr>
                      <w:rFonts w:ascii="宋体" w:cs="宋体"/>
                      <w:b/>
                      <w:sz w:val="16"/>
                    </w:rPr>
                    <w:t>282.62</w:t>
                  </w:r>
                </w:p>
              </w:tc>
            </w:tr>
          </w:tbl>
          <w:p>
            <w:pPr>
              <w:widowControl/>
              <w:jc w:val="center"/>
              <w:rPr>
                <w:rFonts w:ascii="Times New Roman" w:cs="宋体" w:hAnsi="Times New Roman"/>
                <w:kern w:val="0"/>
                <w:sz w:val="36"/>
                <w:szCs w:val="36"/>
              </w:rPr>
            </w:pPr>
          </w:p>
        </w:tc>
      </w:tr>
    </w:tbl>
    <w:p>
      <w:pPr>
        <w:widowControl/>
        <w:jc w:val="left"/>
        <w:rPr>
          <w:rFonts w:ascii="Times New Roman" w:cs="宋体" w:hAnsi="Times New Roman"/>
          <w:kern w:val="0"/>
          <w:sz w:val="24"/>
          <w:szCs w:val="24"/>
        </w:rPr>
      </w:pPr>
      <w:bookmarkStart w:id="1" w:name="RANGE!A1:E71"/>
      <w:bookmarkEnd w:id="1"/>
    </w:p>
    <w:p>
      <w:r>
        <w:rPr>
          <w:rFonts w:ascii="Times New Roman" w:eastAsia="黑体" w:cs="宋体" w:hAnsi="Times New Roman"/>
          <w:kern w:val="0"/>
          <w:sz w:val="20"/>
          <w:szCs w:val="20"/>
        </w:rPr>
        <w:br w:type="page"/>
      </w: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kern w:val="0"/>
                <w:sz w:val="20"/>
                <w:szCs w:val="20"/>
              </w:rPr>
              <w:t>5</w:t>
            </w:r>
            <w:r>
              <w:rPr>
                <w:rFonts w:ascii="Times New Roman" w:cs="宋体" w:hAnsi="Times New Roman" w:hint="eastAsia"/>
                <w:kern w:val="0"/>
                <w:sz w:val="20"/>
                <w:szCs w:val="20"/>
              </w:rPr>
              <w:t>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此表无数据</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：海关总署无</w:t>
      </w:r>
      <w:r>
        <w:rPr>
          <w:rFonts w:ascii="Times New Roman" w:eastAsia="方正仿宋_GBK" w:cs="Times New Roman" w:hAnsi="Times New Roman" w:hint="eastAsia"/>
          <w:sz w:val="24"/>
          <w:szCs w:val="24"/>
        </w:rPr>
        <w:t>政府性基金预算拨款收入，也无使用政府性基金安排的支出，故本表无数据。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w:t>
            </w:r>
            <w:r>
              <w:rPr>
                <w:rFonts w:ascii="Times New Roman" w:cs="宋体" w:hAnsi="Times New Roman"/>
                <w:color w:val="000000"/>
                <w:kern w:val="0"/>
                <w:sz w:val="20"/>
                <w:szCs w:val="20"/>
              </w:rPr>
              <w:t>5</w:t>
            </w:r>
            <w:r>
              <w:rPr>
                <w:rFonts w:ascii="Times New Roman" w:cs="宋体" w:hAnsi="Times New Roman" w:hint="eastAsia"/>
                <w:color w:val="000000"/>
                <w:kern w:val="0"/>
                <w:sz w:val="20"/>
                <w:szCs w:val="20"/>
              </w:rPr>
              <w:t>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r>
              <w:rPr>
                <w:rFonts w:ascii="Times New Roman" w:cs="宋体" w:hAnsi="Times New Roman" w:hint="eastAsia"/>
                <w:kern w:val="0"/>
                <w:sz w:val="20"/>
                <w:szCs w:val="20"/>
              </w:rPr>
              <w:t>此表无数据</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：海关总署无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jc w:val="center"/>
        <w:rPr>
          <w:rFonts w:ascii="Times New Roman" w:eastAsia="方正仿宋_GBK" w:hAnsi="Times New Roman"/>
          <w:sz w:val="32"/>
          <w:szCs w:val="32"/>
        </w:rPr>
      </w:pPr>
    </w:p>
    <w:p>
      <w:pPr>
        <w:jc w:val="center"/>
        <w:rPr>
          <w:rFonts w:ascii="Times New Roman" w:eastAsia="方正仿宋_GBK" w:hAnsi="Times New Roman"/>
          <w:sz w:val="32"/>
          <w:szCs w:val="32"/>
        </w:rPr>
      </w:pPr>
    </w:p>
    <w:tbl>
      <w:tblPr>
        <w:tblpPr w:leftFromText="180" w:rightFromText="180" w:horzAnchor="margin" w:tblpXSpec="center" w:tblpY="405"/>
        <w:tblW w:w="14200" w:type="dxa"/>
        <w:tblBorders>
          <w:top w:val="none" w:sz="0" w:space="0" w:color="auto"/>
          <w:left w:val="none" w:sz="0" w:space="0" w:color="auto"/>
          <w:bottom w:val="none" w:sz="0" w:space="0" w:color="auto"/>
          <w:right w:val="none" w:sz="0" w:space="0" w:color="auto"/>
        </w:tblBorders>
        <w:tblLayout w:type="fixed"/>
        <w:tblCellMar>
          <w:top w:w="0" w:type="dxa"/>
          <w:left w:w="108" w:type="dxa"/>
          <w:bottom w:w="0" w:type="dxa"/>
          <w:right w:w="108" w:type="dxa"/>
        </w:tblCellMar>
      </w:tblPr>
      <w:tblGrid>
        <w:gridCol w:w="2047"/>
        <w:gridCol w:w="1672"/>
        <w:gridCol w:w="2821"/>
        <w:gridCol w:w="819"/>
        <w:gridCol w:w="236"/>
        <w:gridCol w:w="236"/>
        <w:gridCol w:w="236"/>
        <w:gridCol w:w="1046"/>
        <w:gridCol w:w="220"/>
        <w:gridCol w:w="1170"/>
        <w:gridCol w:w="1015"/>
        <w:gridCol w:w="113"/>
        <w:gridCol w:w="1129"/>
        <w:gridCol w:w="1371"/>
        <w:gridCol w:w="69"/>
      </w:tblGrid>
      <w:tr>
        <w:trPr>
          <w:trHeight w:val="285"/>
        </w:trPr>
        <w:tc>
          <w:tcPr>
            <w:tcW w:w="2057"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24"/>
                <w:szCs w:val="24"/>
              </w:rPr>
            </w:pPr>
          </w:p>
        </w:tc>
        <w:tc>
          <w:tcPr>
            <w:tcW w:w="1680"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83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822"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216"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271" w:type="dxa"/>
            <w:gridSpan w:val="2"/>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3" w:type="dxa"/>
            <w:gridSpan w:val="2"/>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jc w:val="left"/>
              <w:rPr>
                <w:rFonts w:ascii="Times New Roman" w:eastAsia="Times New Roman" w:cs="Times New Roman" w:hAnsi="Times New Roman"/>
                <w:kern w:val="0"/>
                <w:sz w:val="20"/>
                <w:szCs w:val="20"/>
              </w:rPr>
            </w:pPr>
          </w:p>
        </w:tc>
        <w:tc>
          <w:tcPr>
            <w:tcW w:w="1446" w:type="dxa"/>
            <w:gridSpan w:val="2"/>
            <w:tcBorders>
              <w:top w:val="nil"/>
              <w:left w:val="nil"/>
              <w:bottom w:val="nil"/>
              <w:right w:val="nil"/>
            </w:tcBorders>
            <w:shd w:val="clear" w:color="auto" w:fill="auto"/>
            <w:noWrap/>
            <w:vAlign w:val="center"/>
          </w:tcPr>
          <w:p>
            <w:pPr>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0" w:type="dxa"/>
            <w:gridSpan w:val="15"/>
            <w:tcBorders>
              <w:top w:val="nil"/>
              <w:left w:val="nil"/>
              <w:bottom w:val="nil"/>
              <w:right w:val="nil"/>
            </w:tcBorders>
            <w:shd w:val="clear" w:color="auto" w:fill="auto"/>
            <w:noWrap/>
            <w:vAlign w:val="center"/>
          </w:tcPr>
          <w:p>
            <w:pPr>
              <w:widowControl/>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2057"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680"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2835"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22"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2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216"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216"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1" w:type="dxa"/>
            <w:gridSpan w:val="2"/>
            <w:tcBorders>
              <w:top w:val="nil"/>
              <w:left w:val="nil"/>
              <w:bottom w:val="nil"/>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nil"/>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3" w:type="dxa"/>
            <w:gridSpan w:val="2"/>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6" w:type="dxa"/>
            <w:gridSpan w:val="2"/>
            <w:tcBorders>
              <w:top w:val="nil"/>
              <w:left w:val="nil"/>
              <w:bottom w:val="nil"/>
              <w:right w:val="nil"/>
            </w:tcBorders>
            <w:shd w:val="clear" w:color="auto" w:fill="auto"/>
            <w:noWrap/>
            <w:vAlign w:val="center"/>
          </w:tcPr>
          <w:p>
            <w:pPr>
              <w:widowControl/>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870"/>
          <w:gridAfter w:val="1"/>
          <w:wAfter w:w="69" w:type="dxa"/>
        </w:trPr>
        <w:tc>
          <w:tcPr>
            <w:tcW w:w="2057"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680" w:type="dxa"/>
            <w:vMerge w:val="restart"/>
            <w:tcBorders>
              <w:top w:val="nil"/>
              <w:left w:val="single" w:sz="4" w:space="0" w:color="auto"/>
              <w:bottom w:val="single" w:sz="4" w:space="0" w:color="000000"/>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7769" w:type="dxa"/>
            <w:gridSpan w:val="9"/>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2625"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pStyle w:val="31"/>
              <w:widowControl/>
              <w:jc w:val="center"/>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gridAfter w:val="1"/>
          <w:wAfter w:w="69" w:type="dxa"/>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2835" w:type="dxa"/>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2520" w:type="dxa"/>
            <w:gridSpan w:val="5"/>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2415" w:type="dxa"/>
            <w:gridSpan w:val="3"/>
            <w:tcBorders>
              <w:top w:val="nil"/>
              <w:left w:val="nil"/>
              <w:bottom w:val="single" w:sz="4" w:space="0" w:color="auto"/>
              <w:right w:val="single" w:sz="4" w:space="0" w:color="auto"/>
            </w:tcBorders>
            <w:shd w:val="clear" w:color="auto" w:fill="auto"/>
            <w:vAlign w:val="center"/>
          </w:tcPr>
          <w:p>
            <w:pPr>
              <w:widowControl/>
              <w:jc w:val="center"/>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15" w:type="dxa"/>
            <w:gridSpan w:val="3"/>
            <w:vMerge/>
            <w:tcBorders>
              <w:left w:val="single" w:sz="4" w:space="0" w:color="auto"/>
              <w:bottom w:val="single" w:sz="4" w:space="0" w:color="000000"/>
              <w:right w:val="single" w:sz="4" w:space="0" w:color="auto"/>
            </w:tcBorders>
            <w:noWrap/>
          </w:tcPr>
          <w:p/>
        </w:tc>
      </w:tr>
      <w:tr>
        <w:trPr>
          <w:trHeight w:val="1335"/>
          <w:gridAfter w:val="1"/>
          <w:wAfter w:w="69" w:type="dxa"/>
        </w:trPr>
        <w:tc>
          <w:tcPr>
            <w:tcW w:w="2057" w:type="dxa"/>
            <w:tcBorders>
              <w:top w:val="nil"/>
              <w:left w:val="single" w:sz="4" w:space="0" w:color="auto"/>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15.00</w:t>
            </w:r>
          </w:p>
        </w:tc>
        <w:tc>
          <w:tcPr>
            <w:tcW w:w="1680"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15.00</w:t>
            </w:r>
          </w:p>
        </w:tc>
        <w:tc>
          <w:tcPr>
            <w:tcW w:w="2520" w:type="dxa"/>
            <w:gridSpan w:val="5"/>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c>
          <w:tcPr>
            <w:tcW w:w="2415" w:type="dxa"/>
            <w:gridSpan w:val="3"/>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r>
              <w:rPr>
                <w:rFonts w:ascii="Times New Roman" w:cs="Times New Roman" w:hAnsi="Times New Roman"/>
                <w:kern w:val="0"/>
                <w:sz w:val="20"/>
                <w:szCs w:val="20"/>
              </w:rPr>
              <w:t>15.00</w:t>
            </w:r>
          </w:p>
        </w:tc>
        <w:tc>
          <w:tcPr>
            <w:tcW w:w="2625" w:type="dxa"/>
            <w:gridSpan w:val="3"/>
            <w:tcBorders>
              <w:top w:val="nil"/>
              <w:left w:val="nil"/>
              <w:bottom w:val="single" w:sz="4" w:space="0" w:color="auto"/>
              <w:right w:val="single" w:sz="4" w:space="0" w:color="auto"/>
            </w:tcBorders>
            <w:shd w:val="clear" w:color="auto" w:fill="auto"/>
            <w:noWrap/>
            <w:vAlign w:val="center"/>
          </w:tcPr>
          <w:p>
            <w:pPr>
              <w:widowControl/>
              <w:jc w:val="right"/>
              <w:rPr>
                <w:rFonts w:ascii="Times New Roman" w:cs="Times New Roman" w:hAnsi="Times New Roman"/>
                <w:kern w:val="0"/>
                <w:sz w:val="20"/>
                <w:szCs w:val="20"/>
              </w:rPr>
            </w:pPr>
          </w:p>
        </w:tc>
      </w:tr>
    </w:tbl>
    <w:p>
      <w:pPr>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p>
    <w:p>
      <w:pPr>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jc w:val="center"/>
        <w:rPr>
          <w:rFonts w:ascii="Times New Roman" w:hAnsi="Times New Roman"/>
          <w:b/>
          <w:sz w:val="80"/>
          <w:szCs w:val="80"/>
        </w:rPr>
      </w:pPr>
      <w:r>
        <w:rPr>
          <w:rFonts w:ascii="Times New Roman" w:hAnsi="Times New Roman" w:hint="eastAsia"/>
          <w:b/>
          <w:sz w:val="80"/>
          <w:szCs w:val="80"/>
        </w:rPr>
        <w:t>海关</w:t>
      </w:r>
      <w:r>
        <w:rPr>
          <w:rFonts w:ascii="Times New Roman" w:hAnsi="Times New Roman"/>
          <w:b/>
          <w:sz w:val="80"/>
          <w:szCs w:val="80"/>
        </w:rPr>
        <w:t>2025</w:t>
      </w:r>
      <w:r>
        <w:rPr>
          <w:rFonts w:ascii="Times New Roman" w:hAnsi="Times New Roman" w:hint="eastAsia"/>
          <w:b/>
          <w:sz w:val="80"/>
          <w:szCs w:val="80"/>
        </w:rPr>
        <w:t>年</w:t>
      </w:r>
    </w:p>
    <w:p>
      <w:pPr>
        <w:jc w:val="center"/>
        <w:rPr>
          <w:rFonts w:ascii="Times New Roman" w:hAnsi="Times New Roman"/>
          <w:b/>
          <w:sz w:val="80"/>
          <w:szCs w:val="80"/>
        </w:rPr>
      </w:pPr>
      <w:r>
        <w:rPr>
          <w:rFonts w:ascii="Times New Roman" w:hAnsi="Times New Roman" w:hint="eastAsia"/>
          <w:b/>
          <w:sz w:val="80"/>
          <w:szCs w:val="80"/>
        </w:rPr>
        <w:t>部门预算情况说明</w:t>
      </w:r>
    </w:p>
    <w:p>
      <w:pPr>
        <w:pStyle w:val="18"/>
        <w:spacing w:line="560" w:lineRule="exact"/>
        <w:rPr>
          <w:b/>
          <w:sz w:val="84"/>
          <w:szCs w:val="84"/>
        </w:rPr>
      </w:pPr>
      <w:r>
        <w:rPr>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pPr>
      <w:r>
        <w:rPr>
          <w:rFonts w:ascii="Times New Roman" w:hAnsi="Times New Roman"/>
          <w:b/>
          <w:sz w:val="84"/>
          <w:szCs w:val="84"/>
        </w:rPr>
        <w:t xml:space="preserve"> </w:t>
      </w:r>
    </w:p>
    <w:p>
      <w:pPr>
        <w:rPr>
          <w:rFonts w:ascii="Times New Roman" w:hAnsi="Times New Roman"/>
          <w:b/>
          <w:sz w:val="84"/>
          <w:szCs w:val="84"/>
        </w:rPr>
        <w:sectPr>
          <w:pgSz w:w="11906" w:h="16838"/>
          <w:pgMar w:top="1440" w:right="1800" w:bottom="1440" w:left="1800" w:header="851" w:footer="992" w:gutter="0"/>
          <w:docGrid w:type="lines" w:linePitch="312" w:charSpace="0"/>
        </w:sectPr>
      </w:pPr>
      <w:r>
        <w:rPr>
          <w:rFonts w:ascii="Times New Roman" w:hAnsi="Times New Roman"/>
          <w:b/>
          <w:sz w:val="84"/>
          <w:szCs w:val="84"/>
        </w:rPr>
        <w:t xml:space="preserve"> </w:t>
      </w:r>
    </w:p>
    <w:p>
      <w:pPr>
        <w:pStyle w:val="18"/>
        <w:spacing w:line="560" w:lineRule="exact"/>
        <w:ind w:firstLineChars="200" w:firstLine="640"/>
        <w:rPr>
          <w:rFonts w:eastAsia="方正仿宋_GBK"/>
          <w:sz w:val="32"/>
          <w:szCs w:val="32"/>
        </w:rPr>
      </w:pPr>
      <w:r>
        <w:rPr>
          <w:rFonts w:eastAsia="方正黑体_GBK"/>
          <w:sz w:val="32"/>
          <w:szCs w:val="32"/>
        </w:rPr>
        <w:t>一、关于海关2025年收支预算情况的总体说明</w:t>
      </w:r>
    </w:p>
    <w:p>
      <w:pPr>
        <w:pStyle w:val="18"/>
        <w:spacing w:line="560" w:lineRule="exact"/>
        <w:ind w:firstLineChars="200" w:firstLine="640"/>
        <w:rPr>
          <w:rFonts w:eastAsia="方正仿宋_GBK"/>
          <w:sz w:val="32"/>
          <w:szCs w:val="32"/>
        </w:rPr>
      </w:pPr>
      <w:r>
        <w:rPr>
          <w:rFonts w:eastAsia="方正仿宋_GBK"/>
          <w:sz w:val="32"/>
          <w:szCs w:val="32"/>
        </w:rPr>
        <w:t>按照综合预算的原则，海关所有收入和支出均纳入部门预算管理。收入包括：一般公共预算拨款收入、事业收入、事业单位经营收入、其他收入、使用非财政拨款结余、上年结转；支出包括：一般公共服务支出、外交支出、公共安全支出、教育支出、社会保障和就业支出、卫生健康支出、住房保障支出。</w:t>
      </w:r>
      <w:r>
        <w:rPr>
          <w:rFonts w:eastAsia="方正仿宋_GBK" w:hint="eastAsia"/>
          <w:sz w:val="32"/>
          <w:szCs w:val="32"/>
        </w:rPr>
        <w:t>信息中心</w:t>
      </w:r>
      <w:r>
        <w:rPr>
          <w:rFonts w:eastAsia="方正仿宋_GBK"/>
          <w:sz w:val="32"/>
          <w:szCs w:val="32"/>
        </w:rPr>
        <w:t>2025年收支总预算1250.71万元。</w:t>
      </w:r>
    </w:p>
    <w:p>
      <w:pPr>
        <w:pStyle w:val="18"/>
        <w:spacing w:line="560" w:lineRule="exact"/>
        <w:ind w:firstLineChars="200" w:firstLine="640"/>
        <w:rPr>
          <w:rFonts w:eastAsia="方正黑体_GBK"/>
          <w:sz w:val="32"/>
          <w:szCs w:val="32"/>
        </w:rPr>
      </w:pPr>
      <w:r>
        <w:rPr>
          <w:rFonts w:eastAsia="方正黑体_GBK"/>
          <w:sz w:val="32"/>
          <w:szCs w:val="32"/>
        </w:rPr>
        <w:t>二、关于2025年收入预算情况说明</w:t>
      </w:r>
    </w:p>
    <w:p>
      <w:pPr>
        <w:pStyle w:val="18"/>
        <w:spacing w:line="560" w:lineRule="exact"/>
        <w:ind w:firstLineChars="200" w:firstLine="640"/>
        <w:rPr>
          <w:rFonts w:eastAsia="方正仿宋_GBK"/>
          <w:sz w:val="32"/>
          <w:szCs w:val="32"/>
        </w:rPr>
      </w:pPr>
      <w:r>
        <w:rPr>
          <w:rFonts w:eastAsia="方正仿宋_GBK"/>
          <w:sz w:val="32"/>
          <w:szCs w:val="32"/>
        </w:rPr>
        <w:t>2025年收入预算1250.71万元，其中：</w:t>
      </w:r>
      <w:r>
        <w:rPr>
          <w:rFonts w:eastAsia="方正仿宋_GBK" w:hint="eastAsia"/>
          <w:sz w:val="32"/>
          <w:szCs w:val="32"/>
        </w:rPr>
        <w:t>使用非财政拨款结余</w:t>
      </w:r>
      <w:r>
        <w:rPr>
          <w:rFonts w:eastAsia="方正仿宋_GBK"/>
          <w:sz w:val="32"/>
          <w:szCs w:val="32"/>
        </w:rPr>
        <w:t>50.00万元，占4.00%；一般公共预算财政拨款902.71万元，占72.17%；其他收入298</w:t>
      </w:r>
      <w:r>
        <w:rPr>
          <w:rFonts w:eastAsia="方正仿宋_GBK" w:hint="eastAsia"/>
          <w:sz w:val="32"/>
          <w:szCs w:val="32"/>
        </w:rPr>
        <w:t>.00</w:t>
      </w:r>
      <w:r>
        <w:rPr>
          <w:rFonts w:eastAsia="方正仿宋_GBK"/>
          <w:sz w:val="32"/>
          <w:szCs w:val="32"/>
        </w:rPr>
        <w:t>万元，占23.83%。</w:t>
      </w:r>
    </w:p>
    <w:p>
      <w:pPr>
        <w:pStyle w:val="18"/>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2025</w:t>
      </w:r>
      <w:r>
        <w:rPr>
          <w:rFonts w:eastAsia="方正黑体_GBK" w:hint="eastAsia"/>
          <w:sz w:val="32"/>
          <w:szCs w:val="32"/>
        </w:rPr>
        <w:t>年支出预算情况说明</w:t>
      </w:r>
    </w:p>
    <w:p>
      <w:pPr>
        <w:pStyle w:val="18"/>
        <w:spacing w:line="560" w:lineRule="exact"/>
        <w:ind w:firstLineChars="200" w:firstLine="640"/>
        <w:rPr>
          <w:rFonts w:eastAsia="方正仿宋_GBK"/>
          <w:sz w:val="32"/>
          <w:szCs w:val="32"/>
        </w:rPr>
      </w:pPr>
      <w:r>
        <w:rPr>
          <w:rFonts w:eastAsia="方正仿宋_GBK"/>
          <w:sz w:val="32"/>
          <w:szCs w:val="32"/>
        </w:rPr>
        <w:t>2025</w:t>
      </w:r>
      <w:r>
        <w:rPr>
          <w:rFonts w:eastAsia="方正仿宋_GBK" w:hint="eastAsia"/>
          <w:sz w:val="32"/>
          <w:szCs w:val="32"/>
        </w:rPr>
        <w:t>年支出预算</w:t>
      </w:r>
      <w:r>
        <w:rPr>
          <w:rFonts w:eastAsia="方正仿宋_GBK"/>
          <w:sz w:val="32"/>
          <w:szCs w:val="32"/>
        </w:rPr>
        <w:t>1250.71</w:t>
      </w:r>
      <w:r>
        <w:rPr>
          <w:rFonts w:eastAsia="方正仿宋_GBK" w:hint="eastAsia"/>
          <w:sz w:val="32"/>
          <w:szCs w:val="32"/>
        </w:rPr>
        <w:t>万元，其中：基本支出</w:t>
      </w:r>
      <w:r>
        <w:rPr>
          <w:rFonts w:eastAsia="方正仿宋_GBK"/>
          <w:sz w:val="32"/>
          <w:szCs w:val="32"/>
        </w:rPr>
        <w:t>1248.71</w:t>
      </w:r>
      <w:r>
        <w:rPr>
          <w:rFonts w:eastAsia="方正仿宋_GBK" w:hint="eastAsia"/>
          <w:sz w:val="32"/>
          <w:szCs w:val="32"/>
        </w:rPr>
        <w:t>万元，占99.</w:t>
      </w:r>
      <w:r>
        <w:rPr>
          <w:rFonts w:eastAsia="方正仿宋_GBK"/>
          <w:sz w:val="32"/>
          <w:szCs w:val="32"/>
        </w:rPr>
        <w:t>84%</w:t>
      </w:r>
      <w:r>
        <w:rPr>
          <w:rFonts w:eastAsia="方正仿宋_GBK" w:hint="eastAsia"/>
          <w:sz w:val="32"/>
          <w:szCs w:val="32"/>
        </w:rPr>
        <w:t>；项目支出</w:t>
      </w:r>
      <w:r>
        <w:rPr>
          <w:rFonts w:eastAsia="方正仿宋_GBK"/>
          <w:sz w:val="32"/>
          <w:szCs w:val="32"/>
        </w:rPr>
        <w:t>2.00</w:t>
      </w:r>
      <w:r>
        <w:rPr>
          <w:rFonts w:eastAsia="方正仿宋_GBK" w:hint="eastAsia"/>
          <w:sz w:val="32"/>
          <w:szCs w:val="32"/>
        </w:rPr>
        <w:t>万元，占0.</w:t>
      </w:r>
      <w:r>
        <w:rPr>
          <w:rFonts w:eastAsia="方正仿宋_GBK"/>
          <w:sz w:val="32"/>
          <w:szCs w:val="32"/>
        </w:rPr>
        <w:t>16%</w:t>
      </w:r>
      <w:r>
        <w:rPr>
          <w:rFonts w:eastAsia="方正仿宋_GBK" w:hint="eastAsia"/>
          <w:sz w:val="32"/>
          <w:szCs w:val="32"/>
        </w:rPr>
        <w:t>。</w:t>
      </w:r>
    </w:p>
    <w:p>
      <w:pPr>
        <w:pStyle w:val="18"/>
        <w:spacing w:line="560" w:lineRule="exact"/>
        <w:ind w:firstLineChars="200" w:firstLine="640"/>
        <w:rPr>
          <w:rFonts w:eastAsia="方正黑体_GBK"/>
          <w:sz w:val="32"/>
          <w:szCs w:val="32"/>
        </w:rPr>
      </w:pPr>
      <w:r>
        <w:rPr>
          <w:rFonts w:eastAsia="方正黑体_GBK" w:hint="eastAsia"/>
          <w:sz w:val="32"/>
          <w:szCs w:val="32"/>
        </w:rPr>
        <w:t>四、关于202</w:t>
      </w:r>
      <w:r>
        <w:rPr>
          <w:rFonts w:eastAsia="方正黑体_GBK"/>
          <w:sz w:val="32"/>
          <w:szCs w:val="32"/>
        </w:rPr>
        <w:t>5</w:t>
      </w:r>
      <w:r>
        <w:rPr>
          <w:rFonts w:eastAsia="方正黑体_GBK" w:hint="eastAsia"/>
          <w:sz w:val="32"/>
          <w:szCs w:val="32"/>
        </w:rPr>
        <w:t>年财政拨款收支预算情况的总体说明</w:t>
      </w:r>
    </w:p>
    <w:p>
      <w:pPr>
        <w:spacing w:line="560" w:lineRule="exact"/>
        <w:ind w:firstLineChars="200" w:firstLine="640"/>
        <w:rPr>
          <w:rFonts w:ascii="Times New Roman" w:eastAsia="方正黑体_GBK" w:hAnsi="Times New Roman"/>
          <w:sz w:val="32"/>
          <w:szCs w:val="32"/>
        </w:rPr>
      </w:pPr>
      <w:r>
        <w:rPr>
          <w:rFonts w:ascii="Times New Roman" w:eastAsia="方正仿宋_GBK" w:hAnsi="Times New Roman" w:hint="eastAsia"/>
          <w:sz w:val="32"/>
          <w:szCs w:val="32"/>
        </w:rPr>
        <w:t>20</w:t>
      </w:r>
      <w:r>
        <w:rPr>
          <w:rFonts w:ascii="Times New Roman" w:eastAsia="方正仿宋_GBK" w:hAnsi="Times New Roman"/>
          <w:sz w:val="32"/>
          <w:szCs w:val="32"/>
        </w:rPr>
        <w:t>25</w:t>
      </w:r>
      <w:r>
        <w:rPr>
          <w:rFonts w:ascii="Times New Roman" w:eastAsia="方正仿宋_GBK" w:hAnsi="Times New Roman" w:hint="eastAsia"/>
          <w:sz w:val="32"/>
          <w:szCs w:val="32"/>
        </w:rPr>
        <w:t>年财政拨款收支总预算</w:t>
      </w:r>
      <w:r>
        <w:rPr>
          <w:rFonts w:ascii="Times New Roman" w:eastAsia="方正仿宋_GBK" w:hAnsi="Times New Roman"/>
          <w:sz w:val="32"/>
          <w:szCs w:val="32"/>
        </w:rPr>
        <w:t>902.71</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sz w:val="32"/>
          <w:szCs w:val="32"/>
        </w:rPr>
        <w:t>902.71</w:t>
      </w:r>
      <w:r>
        <w:rPr>
          <w:rFonts w:ascii="Times New Roman" w:eastAsia="方正仿宋_GBK" w:hAnsi="Times New Roman" w:hint="eastAsia"/>
          <w:sz w:val="32"/>
          <w:szCs w:val="32"/>
        </w:rPr>
        <w:t>万元、无上年结转。支出包括：一般公共服务支出</w:t>
      </w:r>
      <w:r>
        <w:rPr>
          <w:rFonts w:ascii="Times New Roman" w:eastAsia="方正仿宋_GBK" w:hAnsi="Times New Roman"/>
          <w:sz w:val="32"/>
          <w:szCs w:val="32"/>
        </w:rPr>
        <w:t>794.62</w:t>
      </w:r>
      <w:r>
        <w:rPr>
          <w:rFonts w:ascii="Times New Roman" w:eastAsia="方正仿宋_GBK" w:hAnsi="Times New Roman" w:hint="eastAsia"/>
          <w:sz w:val="32"/>
          <w:szCs w:val="32"/>
        </w:rPr>
        <w:t>万元、社会保障和就业支出</w:t>
      </w:r>
      <w:r>
        <w:rPr>
          <w:rFonts w:ascii="Times New Roman" w:eastAsia="方正仿宋_GBK" w:hAnsi="Times New Roman"/>
          <w:sz w:val="32"/>
          <w:szCs w:val="32"/>
        </w:rPr>
        <w:t>46.31</w:t>
      </w:r>
      <w:r>
        <w:rPr>
          <w:rFonts w:ascii="Times New Roman" w:eastAsia="方正仿宋_GBK" w:hAnsi="Times New Roman" w:hint="eastAsia"/>
          <w:sz w:val="32"/>
          <w:szCs w:val="32"/>
        </w:rPr>
        <w:t>万元、住房保障支出</w:t>
      </w:r>
      <w:r>
        <w:rPr>
          <w:rFonts w:ascii="Times New Roman" w:eastAsia="方正仿宋_GBK" w:hAnsi="Times New Roman"/>
          <w:sz w:val="32"/>
          <w:szCs w:val="32"/>
        </w:rPr>
        <w:t>61.78</w:t>
      </w:r>
      <w:r>
        <w:rPr>
          <w:rFonts w:ascii="Times New Roman" w:eastAsia="方正仿宋_GBK" w:hAnsi="Times New Roman" w:hint="eastAsia"/>
          <w:sz w:val="32"/>
          <w:szCs w:val="32"/>
        </w:rPr>
        <w:t>万元。</w:t>
      </w:r>
    </w:p>
    <w:p>
      <w:pPr>
        <w:spacing w:line="560" w:lineRule="exact"/>
        <w:ind w:firstLineChars="200" w:firstLine="640"/>
        <w:rPr>
          <w:rFonts w:ascii="Times New Roman" w:eastAsia="方正黑体_GBK" w:hAnsi="Times New Roman"/>
          <w:sz w:val="32"/>
          <w:szCs w:val="32"/>
        </w:rPr>
      </w:pPr>
      <w:r>
        <w:rPr>
          <w:rFonts w:ascii="Times New Roman" w:eastAsia="方正黑体_GBK" w:hAnsi="Times New Roman" w:hint="eastAsia"/>
          <w:sz w:val="32"/>
          <w:szCs w:val="32"/>
        </w:rPr>
        <w:t>五、关于202</w:t>
      </w:r>
      <w:r>
        <w:rPr>
          <w:rFonts w:ascii="Times New Roman" w:eastAsia="方正黑体_GBK" w:hAnsi="Times New Roman"/>
          <w:sz w:val="32"/>
          <w:szCs w:val="32"/>
        </w:rPr>
        <w:t>5</w:t>
      </w:r>
      <w:r>
        <w:rPr>
          <w:rFonts w:ascii="Times New Roman" w:eastAsia="方正黑体_GBK" w:hAnsi="Times New Roman" w:hint="eastAsia"/>
          <w:sz w:val="32"/>
          <w:szCs w:val="32"/>
        </w:rPr>
        <w:t>年一般公共预算当年财政拨款情况说明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firstLineChars="200" w:firstLine="640"/>
        <w:rPr>
          <w:rFonts w:ascii="Times New Roman" w:hAnsi="Times New Roman"/>
          <w:szCs w:val="21"/>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年一般公共预算当年财政拨款预算</w:t>
      </w:r>
      <w:r>
        <w:rPr>
          <w:rFonts w:ascii="Times New Roman" w:eastAsia="方正仿宋_GBK" w:hAnsi="Times New Roman"/>
          <w:sz w:val="32"/>
          <w:szCs w:val="32"/>
        </w:rPr>
        <w:t>902.71</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w:t>
      </w:r>
      <w:r>
        <w:rPr>
          <w:rFonts w:ascii="Times New Roman" w:eastAsia="方正仿宋_GBK" w:hAnsi="Times New Roman"/>
          <w:sz w:val="32"/>
          <w:szCs w:val="32"/>
        </w:rPr>
        <w:t>747.76</w:t>
      </w:r>
      <w:r>
        <w:rPr>
          <w:rFonts w:ascii="Times New Roman" w:eastAsia="方正仿宋_GBK" w:hAnsi="Times New Roman" w:hint="eastAsia"/>
          <w:sz w:val="32"/>
          <w:szCs w:val="32"/>
        </w:rPr>
        <w:t>万元增加</w:t>
      </w:r>
      <w:r>
        <w:rPr>
          <w:rFonts w:ascii="Times New Roman" w:eastAsia="方正仿宋_GBK" w:hAnsi="Times New Roman"/>
          <w:sz w:val="32"/>
          <w:szCs w:val="32"/>
        </w:rPr>
        <w:t>154.95</w:t>
      </w:r>
      <w:r>
        <w:rPr>
          <w:rFonts w:ascii="Times New Roman" w:eastAsia="方正仿宋_GBK" w:hAnsi="Times New Roman" w:hint="eastAsia"/>
          <w:sz w:val="32"/>
          <w:szCs w:val="32"/>
        </w:rPr>
        <w:t>万元，增加</w:t>
      </w:r>
      <w:r>
        <w:rPr>
          <w:rFonts w:ascii="Times New Roman" w:eastAsia="方正仿宋_GBK" w:hAnsi="Times New Roman"/>
          <w:sz w:val="32"/>
          <w:szCs w:val="32"/>
        </w:rPr>
        <w:t>20.72</w:t>
      </w:r>
      <w:r>
        <w:rPr>
          <w:rFonts w:ascii="Times New Roman" w:eastAsia="方正仿宋_GBK" w:hAnsi="Times New Roman" w:hint="eastAsia"/>
          <w:sz w:val="32"/>
          <w:szCs w:val="32"/>
        </w:rPr>
        <w:t>%。</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sz w:val="32"/>
          <w:szCs w:val="32"/>
        </w:rPr>
        <w:t>794.62</w:t>
      </w:r>
      <w:r>
        <w:rPr>
          <w:rFonts w:ascii="Times New Roman" w:eastAsia="方正仿宋_GBK" w:hAnsi="Times New Roman" w:hint="eastAsia"/>
          <w:sz w:val="32"/>
          <w:szCs w:val="32"/>
        </w:rPr>
        <w:t>万元，占</w:t>
      </w:r>
      <w:r>
        <w:rPr>
          <w:rFonts w:ascii="Times New Roman" w:eastAsia="方正仿宋_GBK" w:hAnsi="Times New Roman"/>
          <w:sz w:val="32"/>
          <w:szCs w:val="32"/>
        </w:rPr>
        <w:t>88.03</w:t>
      </w:r>
      <w:r>
        <w:rPr>
          <w:rFonts w:ascii="Times New Roman" w:eastAsia="方正仿宋_GBK" w:hAnsi="Times New Roman" w:hint="eastAsia"/>
          <w:sz w:val="32"/>
          <w:szCs w:val="32"/>
        </w:rPr>
        <w:t>%；社会保障和就业（类）支出</w:t>
      </w:r>
      <w:r>
        <w:rPr>
          <w:rFonts w:ascii="Times New Roman" w:eastAsia="方正仿宋_GBK" w:hAnsi="Times New Roman"/>
          <w:sz w:val="32"/>
          <w:szCs w:val="32"/>
        </w:rPr>
        <w:t>46.31</w:t>
      </w:r>
      <w:r>
        <w:rPr>
          <w:rFonts w:ascii="Times New Roman" w:eastAsia="方正仿宋_GBK" w:hAnsi="Times New Roman" w:hint="eastAsia"/>
          <w:sz w:val="32"/>
          <w:szCs w:val="32"/>
        </w:rPr>
        <w:t>万元，占</w:t>
      </w:r>
      <w:r>
        <w:rPr>
          <w:rFonts w:ascii="Times New Roman" w:eastAsia="方正仿宋_GBK" w:hAnsi="Times New Roman"/>
          <w:sz w:val="32"/>
          <w:szCs w:val="32"/>
        </w:rPr>
        <w:t>5.13</w:t>
      </w:r>
      <w:r>
        <w:rPr>
          <w:rFonts w:ascii="Times New Roman" w:eastAsia="方正仿宋_GBK" w:hAnsi="Times New Roman" w:hint="eastAsia"/>
          <w:sz w:val="32"/>
          <w:szCs w:val="32"/>
        </w:rPr>
        <w:t>%；住房保障（类）支出</w:t>
      </w:r>
      <w:r>
        <w:rPr>
          <w:rFonts w:ascii="Times New Roman" w:eastAsia="方正仿宋_GBK" w:hAnsi="Times New Roman"/>
          <w:sz w:val="32"/>
          <w:szCs w:val="32"/>
        </w:rPr>
        <w:t>61.78</w:t>
      </w:r>
      <w:r>
        <w:rPr>
          <w:rFonts w:ascii="Times New Roman" w:eastAsia="方正仿宋_GBK" w:hAnsi="Times New Roman" w:hint="eastAsia"/>
          <w:sz w:val="32"/>
          <w:szCs w:val="32"/>
        </w:rPr>
        <w:t>万元，占</w:t>
      </w:r>
      <w:r>
        <w:rPr>
          <w:rFonts w:ascii="Times New Roman" w:eastAsia="方正仿宋_GBK" w:hAnsi="Times New Roman"/>
          <w:sz w:val="32"/>
          <w:szCs w:val="32"/>
        </w:rPr>
        <w:t>6.84</w:t>
      </w:r>
      <w:r>
        <w:rPr>
          <w:rFonts w:ascii="Times New Roman" w:eastAsia="方正仿宋_GBK" w:hAnsi="Times New Roman" w:hint="eastAsia"/>
          <w:sz w:val="32"/>
          <w:szCs w:val="32"/>
        </w:rPr>
        <w:t>%。</w:t>
      </w:r>
    </w:p>
    <w:p>
      <w:pPr>
        <w:spacing w:line="560" w:lineRule="exact"/>
        <w:ind w:firstLineChars="20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794.62</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w:t>
      </w:r>
      <w:r>
        <w:rPr>
          <w:rFonts w:ascii="Times New Roman" w:eastAsia="方正仿宋_GBK" w:hAnsi="Times New Roman"/>
          <w:sz w:val="32"/>
          <w:szCs w:val="32"/>
        </w:rPr>
        <w:t>148.75</w:t>
      </w:r>
      <w:r>
        <w:rPr>
          <w:rFonts w:ascii="Times New Roman" w:eastAsia="方正仿宋_GBK" w:hAnsi="Times New Roman" w:hint="eastAsia"/>
          <w:sz w:val="32"/>
          <w:szCs w:val="32"/>
        </w:rPr>
        <w:t>万元。</w:t>
      </w:r>
      <w:r>
        <w:rPr>
          <w:rFonts w:ascii="Times New Roman" w:eastAsia="方正仿宋_GBK" w:hAnsi="Times New Roman"/>
          <w:sz w:val="32"/>
          <w:szCs w:val="32"/>
        </w:rPr>
        <w:t xml:space="preserve"> </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2．社会保障和就业支出（类）202</w:t>
      </w:r>
      <w:r>
        <w:rPr>
          <w:rFonts w:ascii="Times New Roman" w:eastAsia="方正仿宋_GBK" w:hAnsi="Times New Roman"/>
          <w:sz w:val="32"/>
          <w:szCs w:val="32"/>
        </w:rPr>
        <w:t>5</w:t>
      </w:r>
      <w:r>
        <w:rPr>
          <w:rFonts w:ascii="Times New Roman" w:eastAsia="方正仿宋_GBK" w:hAnsi="Times New Roman" w:hint="eastAsia"/>
          <w:sz w:val="32"/>
          <w:szCs w:val="32"/>
        </w:rPr>
        <w:t>年预算46.31万元，比202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w:t>
      </w:r>
      <w:r>
        <w:rPr>
          <w:rFonts w:ascii="Times New Roman" w:eastAsia="方正仿宋_GBK" w:hAnsi="Times New Roman"/>
          <w:sz w:val="32"/>
          <w:szCs w:val="32"/>
        </w:rPr>
        <w:t>0.00</w:t>
      </w:r>
      <w:r>
        <w:rPr>
          <w:rFonts w:ascii="Times New Roman" w:eastAsia="方正仿宋_GBK" w:hAnsi="Times New Roman" w:hint="eastAsia"/>
          <w:sz w:val="32"/>
          <w:szCs w:val="32"/>
        </w:rPr>
        <w:t>万元。</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3．住房保障支出（类）202</w:t>
      </w:r>
      <w:r>
        <w:rPr>
          <w:rFonts w:ascii="Times New Roman" w:eastAsia="方正仿宋_GBK" w:hAnsi="Times New Roman"/>
          <w:sz w:val="32"/>
          <w:szCs w:val="32"/>
        </w:rPr>
        <w:t>5</w:t>
      </w:r>
      <w:r>
        <w:rPr>
          <w:rFonts w:ascii="Times New Roman" w:eastAsia="方正仿宋_GBK" w:hAnsi="Times New Roman" w:hint="eastAsia"/>
          <w:sz w:val="32"/>
          <w:szCs w:val="32"/>
        </w:rPr>
        <w:t>年预算</w:t>
      </w:r>
      <w:r>
        <w:rPr>
          <w:rFonts w:ascii="Times New Roman" w:eastAsia="方正仿宋_GBK" w:hAnsi="Times New Roman"/>
          <w:sz w:val="32"/>
          <w:szCs w:val="32"/>
        </w:rPr>
        <w:t>61.78</w:t>
      </w:r>
      <w:r>
        <w:rPr>
          <w:rFonts w:ascii="Times New Roman" w:eastAsia="方正仿宋_GBK" w:hAnsi="Times New Roman" w:hint="eastAsia"/>
          <w:sz w:val="32"/>
          <w:szCs w:val="32"/>
        </w:rPr>
        <w:t>万元，比202</w:t>
      </w:r>
      <w:r>
        <w:rPr>
          <w:rFonts w:ascii="Times New Roman" w:eastAsia="方正仿宋_GBK" w:hAnsi="Times New Roman"/>
          <w:sz w:val="32"/>
          <w:szCs w:val="32"/>
        </w:rPr>
        <w:t>4</w:t>
      </w:r>
      <w:r>
        <w:rPr>
          <w:rFonts w:ascii="Times New Roman" w:eastAsia="方正仿宋_GBK" w:hAnsi="Times New Roman" w:hint="eastAsia"/>
          <w:sz w:val="32"/>
          <w:szCs w:val="32"/>
        </w:rPr>
        <w:t>年执行数增加</w:t>
      </w:r>
      <w:r>
        <w:rPr>
          <w:rFonts w:ascii="Times New Roman" w:eastAsia="方正仿宋_GBK" w:hAnsi="Times New Roman"/>
          <w:sz w:val="32"/>
          <w:szCs w:val="32"/>
        </w:rPr>
        <w:t>6.20</w:t>
      </w:r>
      <w:r>
        <w:rPr>
          <w:rFonts w:ascii="Times New Roman" w:eastAsia="方正仿宋_GBK" w:hAnsi="Times New Roman" w:hint="eastAsia"/>
          <w:sz w:val="32"/>
          <w:szCs w:val="32"/>
        </w:rPr>
        <w:t>万元。</w:t>
      </w:r>
    </w:p>
    <w:p>
      <w:pPr>
        <w:pStyle w:val="18"/>
        <w:spacing w:line="560" w:lineRule="exact"/>
        <w:ind w:firstLineChars="200" w:firstLine="640"/>
        <w:rPr>
          <w:rFonts w:eastAsia="方正黑体_GBK"/>
          <w:sz w:val="32"/>
          <w:szCs w:val="32"/>
        </w:rPr>
      </w:pPr>
      <w:r>
        <w:rPr>
          <w:rFonts w:eastAsia="方正黑体_GBK" w:hint="eastAsia"/>
          <w:sz w:val="32"/>
          <w:szCs w:val="32"/>
        </w:rPr>
        <w:t>六、关于202</w:t>
      </w:r>
      <w:r>
        <w:rPr>
          <w:rFonts w:eastAsia="方正黑体_GBK"/>
          <w:sz w:val="32"/>
          <w:szCs w:val="32"/>
        </w:rPr>
        <w:t>5</w:t>
      </w:r>
      <w:r>
        <w:rPr>
          <w:rFonts w:eastAsia="方正黑体_GBK" w:hint="eastAsia"/>
          <w:sz w:val="32"/>
          <w:szCs w:val="32"/>
        </w:rPr>
        <w:t>年一般公共预算基本支出情况说明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年一般公共预算基本支出</w:t>
      </w:r>
      <w:r>
        <w:rPr>
          <w:rFonts w:ascii="Times New Roman" w:eastAsia="方正仿宋_GBK" w:hAnsi="Times New Roman"/>
          <w:sz w:val="32"/>
          <w:szCs w:val="32"/>
        </w:rPr>
        <w:t>900.71</w:t>
      </w:r>
      <w:r>
        <w:rPr>
          <w:rFonts w:ascii="Times New Roman" w:eastAsia="方正仿宋_GBK" w:hAnsi="Times New Roman" w:hint="eastAsia"/>
          <w:sz w:val="32"/>
          <w:szCs w:val="32"/>
        </w:rPr>
        <w:t>万元，其中：</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sz w:val="32"/>
          <w:szCs w:val="32"/>
        </w:rPr>
        <w:t>618.09</w:t>
      </w:r>
      <w:r>
        <w:rPr>
          <w:rFonts w:ascii="Times New Roman" w:eastAsia="方正仿宋_GBK" w:hAnsi="Times New Roman"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退职（役）费、抚恤金、生活补助、医疗费补助、助学金、奖励金、代缴社会保险费、其他对个人和家庭的补助；</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282.62万元，主要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办公设备购置、专用设备购置、大型修缮、信息网络及软件购置更新、无形资产购置、其他资本性支出。</w:t>
      </w:r>
    </w:p>
    <w:p>
      <w:pPr>
        <w:pStyle w:val="18"/>
        <w:spacing w:line="560" w:lineRule="exact"/>
        <w:ind w:firstLineChars="200" w:firstLine="640"/>
        <w:rPr>
          <w:rFonts w:eastAsia="方正黑体_GBK"/>
          <w:sz w:val="32"/>
          <w:szCs w:val="32"/>
        </w:rPr>
      </w:pPr>
      <w:r>
        <w:rPr>
          <w:rFonts w:eastAsia="方正黑体_GBK" w:hint="eastAsia"/>
          <w:sz w:val="32"/>
          <w:szCs w:val="32"/>
        </w:rPr>
        <w:t>七、关于202</w:t>
      </w:r>
      <w:r>
        <w:rPr>
          <w:rFonts w:eastAsia="方正黑体_GBK"/>
          <w:sz w:val="32"/>
          <w:szCs w:val="32"/>
        </w:rPr>
        <w:t>5</w:t>
      </w:r>
      <w:r>
        <w:rPr>
          <w:rFonts w:eastAsia="方正黑体_GBK" w:hint="eastAsia"/>
          <w:sz w:val="32"/>
          <w:szCs w:val="32"/>
        </w:rPr>
        <w:t>年“三公”经费预算情况说明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年“三公”经费预算数为</w:t>
      </w:r>
      <w:r>
        <w:rPr>
          <w:rFonts w:ascii="Times New Roman" w:eastAsia="方正仿宋_GBK" w:hAnsi="Times New Roman"/>
          <w:sz w:val="32"/>
          <w:szCs w:val="32"/>
        </w:rPr>
        <w:t>15.00</w:t>
      </w:r>
      <w:r>
        <w:rPr>
          <w:rFonts w:ascii="Times New Roman" w:eastAsia="方正仿宋_GBK" w:hAnsi="Times New Roman" w:hint="eastAsia"/>
          <w:sz w:val="32"/>
          <w:szCs w:val="32"/>
        </w:rPr>
        <w:t>万元。其中：因公出国（境）费0.00万元；公务用车购置费0.00元；公务用车运行费</w:t>
      </w:r>
      <w:r>
        <w:rPr>
          <w:rFonts w:ascii="Times New Roman" w:eastAsia="方正仿宋_GBK" w:hAnsi="Times New Roman"/>
          <w:sz w:val="32"/>
          <w:szCs w:val="32"/>
        </w:rPr>
        <w:t>15.00</w:t>
      </w:r>
      <w:r>
        <w:rPr>
          <w:rFonts w:ascii="Times New Roman" w:eastAsia="方正仿宋_GBK" w:hAnsi="Times New Roman" w:hint="eastAsia"/>
          <w:sz w:val="32"/>
          <w:szCs w:val="32"/>
        </w:rPr>
        <w:t>万元；公务接待费0.00万元。</w:t>
      </w:r>
    </w:p>
    <w:p>
      <w:pPr>
        <w:pStyle w:val="18"/>
        <w:spacing w:line="560" w:lineRule="exact"/>
        <w:ind w:firstLineChars="200" w:firstLine="640"/>
        <w:rPr>
          <w:rFonts w:eastAsia="方正黑体_GBK"/>
          <w:sz w:val="32"/>
          <w:szCs w:val="32"/>
        </w:rPr>
      </w:pPr>
      <w:r>
        <w:rPr>
          <w:rFonts w:eastAsia="方正黑体_GBK" w:hint="eastAsia"/>
          <w:sz w:val="32"/>
          <w:szCs w:val="32"/>
        </w:rPr>
        <w:t>八、关于202</w:t>
      </w:r>
      <w:r>
        <w:rPr>
          <w:rFonts w:eastAsia="方正黑体_GBK"/>
          <w:sz w:val="32"/>
          <w:szCs w:val="32"/>
        </w:rPr>
        <w:t>5</w:t>
      </w:r>
      <w:r>
        <w:rPr>
          <w:rFonts w:eastAsia="方正黑体_GBK" w:hint="eastAsia"/>
          <w:sz w:val="32"/>
          <w:szCs w:val="32"/>
        </w:rPr>
        <w:t>年政府性基金预算收支情况说明</w:t>
      </w:r>
    </w:p>
    <w:p>
      <w:pPr>
        <w:spacing w:line="560" w:lineRule="exact"/>
        <w:ind w:firstLineChars="200" w:firstLine="640"/>
        <w:rPr>
          <w:rFonts w:ascii="Times New Roman"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年无政府性基金预算收支。</w:t>
      </w:r>
    </w:p>
    <w:p>
      <w:pPr>
        <w:pStyle w:val="18"/>
        <w:spacing w:line="560" w:lineRule="exact"/>
        <w:ind w:firstLineChars="200" w:firstLine="640"/>
        <w:rPr>
          <w:rFonts w:eastAsia="方正黑体_GBK"/>
          <w:sz w:val="32"/>
          <w:szCs w:val="32"/>
        </w:rPr>
      </w:pPr>
      <w:r>
        <w:rPr>
          <w:rFonts w:eastAsia="方正黑体_GBK" w:hint="eastAsia"/>
          <w:sz w:val="32"/>
          <w:szCs w:val="32"/>
        </w:rPr>
        <w:t>九、关于202</w:t>
      </w:r>
      <w:r>
        <w:rPr>
          <w:rFonts w:eastAsia="方正黑体_GBK"/>
          <w:sz w:val="32"/>
          <w:szCs w:val="32"/>
        </w:rPr>
        <w:t>5</w:t>
      </w:r>
      <w:r>
        <w:rPr>
          <w:rFonts w:eastAsia="方正黑体_GBK" w:hint="eastAsia"/>
          <w:sz w:val="32"/>
          <w:szCs w:val="32"/>
        </w:rPr>
        <w:t>年国有资本经营预算收支情况说明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年无国有资本经营预算收支。</w:t>
      </w:r>
    </w:p>
    <w:p>
      <w:pPr>
        <w:pStyle w:val="18"/>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（一）政府采购情况。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年政府采购预算总额0.00万元。</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（二）国有资产占有使用情况。</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color w:val="000000"/>
          <w:sz w:val="32"/>
          <w:szCs w:val="32"/>
        </w:rPr>
        <w:t>截至202</w:t>
      </w:r>
      <w:r>
        <w:rPr>
          <w:rFonts w:ascii="Times New Roman" w:eastAsia="方正仿宋_GBK" w:hAnsi="Times New Roman"/>
          <w:color w:val="000000"/>
          <w:sz w:val="32"/>
          <w:szCs w:val="32"/>
        </w:rPr>
        <w:t>4</w:t>
      </w:r>
      <w:r>
        <w:rPr>
          <w:rFonts w:ascii="Times New Roman" w:eastAsia="方正仿宋_GBK" w:hAnsi="Times New Roman" w:hint="eastAsia"/>
          <w:color w:val="000000"/>
          <w:sz w:val="32"/>
          <w:szCs w:val="32"/>
        </w:rPr>
        <w:t>年12月31日，本单位共有车辆1辆，为其他用车。</w:t>
      </w: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年部门预算未安排购置车辆。</w:t>
      </w:r>
    </w:p>
    <w:p>
      <w:pPr>
        <w:spacing w:line="560" w:lineRule="exact"/>
        <w:ind w:firstLineChars="20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（三）预算绩效情况说明。</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年对一般公共预算拨款项目全面实施绩效目标管理。</w:t>
      </w:r>
    </w:p>
    <w:p>
      <w:pPr>
        <w:spacing w:line="560" w:lineRule="exact"/>
        <w:ind w:firstLineChars="200" w:firstLine="640"/>
        <w:rPr>
          <w:rFonts w:ascii="Times New Roman" w:eastAsia="方正楷体_GBK" w:cs="方正楷体_GBK" w:hAnsi="Times New Roman"/>
          <w:b/>
          <w:bCs/>
          <w:sz w:val="32"/>
          <w:szCs w:val="32"/>
        </w:rPr>
      </w:pPr>
      <w:r>
        <w:rPr>
          <w:rFonts w:ascii="Times New Roman" w:eastAsia="方正楷体_GBK" w:cs="方正楷体_GBK" w:hAnsi="Times New Roman" w:hint="eastAsia"/>
          <w:b/>
          <w:bCs/>
          <w:sz w:val="32"/>
          <w:szCs w:val="32"/>
        </w:rPr>
        <w:t>（四）海关业务保障及能力提升专项项目情况。</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1．项目概述和立项依据。</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通过信息化软硬件的运维，提高福州海关监管工作效率，缓解海关人力资源不足与日益增长的监管工作量之间的矛盾，提升海关监管科技含量，提升海关装备设备现代化、信息化运维水平，优化海关监管与服务。</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根据海关总署关于对信息化建设的总体部署，福州海关应强化网络基础设施、数据中心、应用系统、安全基础设施等方面的配套建设，力争实现信息化基础资源集约化、运维管控智能化、科技服务优质化，积极推动关区“智慧海关、智能边境、智享联通”建设取得成效。</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 xml:space="preserve">随着全面建成“智慧海关”建设的不断推进，福州海关信息化进程不断深入，业务信息化应用范围不断扩展，各类信息化系统、设备不断增加。目前，已建成全关互联的广域网系统，全关数据集中的业务系统，拥有各类业务和企业服务信息化系统六十多套，信息化应用的规模也日益扩大。为保证各业务系统正常运转，为广大进出口企业提供良好服务，降低信息化软硬件系统设备运行故障对海关业务的影响，应该购买维保支持服务，为信息化系统设备后续维护、保养、运行提供保障。  </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2．实施方案。</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根据福州海关现有软硬件应用系统现状，建立相关支持服务，保证各应用系统的故障能够得到及时、有力的支持，确保业务工作正常开展。2025年项目实施后保证福州海关各基础设施、业务系统正常运转，有效降低信息化软硬件系统设备运行故障对海关业务的影响，为信息化系统设备后续维护、保养、运行提供保障。</w:t>
      </w:r>
    </w:p>
    <w:p>
      <w:pPr>
        <w:spacing w:line="560" w:lineRule="exact"/>
        <w:ind w:firstLineChars="200" w:firstLine="640"/>
        <w:rPr>
          <w:rFonts w:ascii="Times New Roman" w:eastAsia="方正仿宋_GBK" w:hAnsi="Times New Roman"/>
          <w:b/>
          <w:sz w:val="32"/>
          <w:szCs w:val="32"/>
        </w:rPr>
      </w:pPr>
      <w:r>
        <w:rPr>
          <w:rFonts w:ascii="Times New Roman" w:eastAsia="方正仿宋_GBK" w:hAnsi="Times New Roman" w:hint="eastAsia"/>
          <w:b/>
          <w:sz w:val="32"/>
          <w:szCs w:val="32"/>
        </w:rPr>
        <w:t>3．年度预算安排。</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sz w:val="32"/>
          <w:szCs w:val="32"/>
        </w:rPr>
        <w:t>5</w:t>
      </w:r>
      <w:r>
        <w:rPr>
          <w:rFonts w:ascii="Times New Roman" w:eastAsia="方正仿宋_GBK" w:hAnsi="Times New Roman" w:hint="eastAsia"/>
          <w:sz w:val="32"/>
          <w:szCs w:val="32"/>
        </w:rPr>
        <w:t>年拟安排该项目一般公共预算</w:t>
      </w:r>
      <w:r>
        <w:rPr>
          <w:rFonts w:ascii="Times New Roman" w:eastAsia="方正仿宋_GBK" w:hAnsi="Times New Roman"/>
          <w:sz w:val="32"/>
          <w:szCs w:val="32"/>
        </w:rPr>
        <w:t>2.00</w:t>
      </w:r>
      <w:r>
        <w:rPr>
          <w:rFonts w:ascii="Times New Roman" w:eastAsia="方正仿宋_GBK" w:hAnsi="Times New Roman" w:hint="eastAsia"/>
          <w:sz w:val="32"/>
          <w:szCs w:val="32"/>
        </w:rPr>
        <w:t>万元。</w:t>
      </w:r>
    </w:p>
    <w:p>
      <w:pPr>
        <w:rPr>
          <w:rFonts w:ascii="Times New Roman" w:eastAsia="方正仿宋_GBK" w:hAnsi="Times New Roman"/>
          <w:sz w:val="32"/>
          <w:szCs w:val="32"/>
        </w:rPr>
        <w:sectPr>
          <w:pgSz w:w="11906" w:h="16838"/>
          <w:pgMar w:top="1440" w:right="1800" w:bottom="1440" w:left="1800" w:header="851" w:footer="992" w:gutter="0"/>
          <w:docGrid w:type="lines" w:linePitch="312" w:charSpace="0"/>
        </w:sectPr>
      </w:pPr>
      <w:r>
        <w:rPr>
          <w:rFonts w:ascii="Times New Roman" w:eastAsia="方正仿宋_GBK" w:hAnsi="Times New Roman" w:hint="eastAsia"/>
          <w:sz w:val="32"/>
          <w:szCs w:val="32"/>
        </w:rPr>
        <w:t xml:space="preserve">  </w:t>
      </w:r>
    </w:p>
    <w:p>
      <w:pPr>
        <w:jc w:val="center"/>
        <w:rPr>
          <w:rFonts w:ascii="Times New Roman" w:eastAsia="方正仿宋_GBK" w:hAnsi="Times New Roman"/>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p>
    <w:p>
      <w:pPr>
        <w:jc w:val="center"/>
        <w:rPr>
          <w:rFonts w:ascii="Times New Roman" w:hAnsi="Times New Roman"/>
          <w:b/>
          <w:sz w:val="32"/>
          <w:szCs w:val="32"/>
        </w:rPr>
      </w:pPr>
      <w:r>
        <w:rPr>
          <w:rFonts w:ascii="Times New Roman" w:hAnsi="Times New Roman" w:hint="eastAsia"/>
          <w:b/>
          <w:sz w:val="32"/>
          <w:szCs w:val="32"/>
        </w:rPr>
        <w:t xml:space="preserve"> </w:t>
      </w:r>
    </w:p>
    <w:p>
      <w:pPr>
        <w:jc w:val="center"/>
        <w:rPr>
          <w:rFonts w:ascii="Times New Roman" w:hAnsi="Times New Roman"/>
          <w:b/>
          <w:sz w:val="84"/>
          <w:szCs w:val="84"/>
        </w:rPr>
      </w:pPr>
      <w:r>
        <w:rPr>
          <w:rFonts w:ascii="Times New Roman" w:hAnsi="Times New Roman" w:hint="eastAsia"/>
          <w:b/>
          <w:sz w:val="84"/>
          <w:szCs w:val="84"/>
        </w:rPr>
        <w:t>第四部分</w:t>
      </w:r>
      <w:r>
        <w:rPr>
          <w:rFonts w:ascii="Times New Roman" w:hAnsi="Times New Roman"/>
          <w:b/>
          <w:sz w:val="84"/>
          <w:szCs w:val="84"/>
        </w:rPr>
        <w:t xml:space="preserve">  </w:t>
      </w:r>
    </w:p>
    <w:p>
      <w:pPr>
        <w:jc w:val="center"/>
        <w:rPr>
          <w:rFonts w:ascii="Times New Roman" w:hAnsi="Times New Roman"/>
          <w:b/>
          <w:sz w:val="84"/>
          <w:szCs w:val="84"/>
        </w:rPr>
      </w:pPr>
      <w:r>
        <w:rPr>
          <w:rFonts w:ascii="Times New Roman" w:hAnsi="Times New Roman" w:hint="eastAsia"/>
          <w:b/>
          <w:sz w:val="84"/>
          <w:szCs w:val="84"/>
        </w:rPr>
        <w:t>名词解释</w:t>
      </w:r>
    </w:p>
    <w:p>
      <w:pPr>
        <w:rPr>
          <w:rFonts w:ascii="Times New Roman" w:hAnsi="Times New Roman"/>
          <w:b/>
          <w:sz w:val="84"/>
          <w:szCs w:val="84"/>
        </w:rPr>
        <w:sectPr>
          <w:pgSz w:w="11906" w:h="16838"/>
          <w:pgMar w:top="1440" w:right="1800" w:bottom="1440" w:left="1800" w:header="851" w:footer="992" w:gutter="0"/>
          <w:docGrid w:type="lines" w:linePitch="312" w:charSpace="0"/>
        </w:sectPr>
      </w:pP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7"/>
      </w:tabs>
    </w:pPr>
    <w:r>
      <mc:AlternateContent>
        <mc:Choice Requires="wps">
          <w:drawing>
            <wp:anchor distT="0" distB="0" distL="114297" distR="114297" simplePos="0" relativeHeight="12" behindDoc="0" locked="0" layoutInCell="1" hidden="0" allowOverlap="1">
              <wp:simplePos x="0" y="0"/>
              <wp:positionH relativeFrom="margin">
                <wp:align>center</wp:align>
              </wp:positionH>
              <wp:positionV relativeFrom="paragraph">
                <wp:posOffset>0</wp:posOffset>
              </wp:positionV>
              <wp:extent cx="128778" cy="155193"/>
              <wp:effectExtent l="0" t="0" r="0" b="0"/>
              <wp:wrapNone/>
              <wp:docPr id="4" name="文本框 3 6 6"/>
              <wp:cNvGraphicFramePr>
                <a:graphicFrameLocks noChangeAspect="0"/>
              </wp:cNvGraphicFramePr>
              <a:graphic>
                <a:graphicData uri="http://schemas.microsoft.com/office/word/2010/wordprocessingShape">
                  <wps:wsp>
                    <wps:cNvSpPr/>
                    <wps:spPr>
                      <a:xfrm rot="0">
                        <a:off x="0" y="0"/>
                        <a:ext cx="128778" cy="155193"/>
                      </a:xfrm>
                      <a:prstGeom prst="rect"/>
                      <a:noFill/>
                      <a:ln w="9525" cmpd="sng" cap="flat">
                        <a:noFill/>
                        <a:prstDash val="solid"/>
                        <a:miter/>
                      </a:ln>
                    </wps:spPr>
                    <wps:txbx id="5">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27</w:t>
                          </w:r>
                          <w:r>
                            <w:rPr>
                              <w:sz w:val="20"/>
                              <w:szCs w:val="24"/>
                            </w:rPr>
                            <w:fldChar w:fldCharType="end"/>
                          </w:r>
                        </w:p>
                      </w:txbxContent>
                    </wps:txbx>
                    <wps:bodyPr vert="horz" wrap="none" lIns="0" tIns="0" rIns="0" bIns="0" anchor="t" anchorCtr="0" upright="1">
                      <a:spAutoFit/>
                    </wps:bodyPr>
                  </wps:wsp>
                </a:graphicData>
              </a:graphic>
            </wp:anchor>
          </w:drawing>
        </mc:Choice>
        <mc:Fallback>
          <w:pict>
            <v:shape type="#_x0000_t202" id="文本框 3 6 6 6" o:spid="_x0000_s6" filled="f" stroked="f" style="position:absolute;margin-left:0.0pt;margin-top:0.0pt;width:10.140043pt;height:12.219998pt;z-index:12;mso-position-horizontal:center;mso-position-horizontal-relative:margin;mso-position-vertical:absolute;mso-wrap-distance-left:8.99983pt;mso-wrap-distance-right:8.99983pt;mso-wrap-style:none;">
              <v:stroke color="#000000"/>
              <v:textbox id="849" inset="0mm,0mm,0mm,0mm" o:insetmode="custom" style="layout-flow:horizontal;v-text-anchor:top;mso-fit-shape-to-text:t;">
                <w:txbxContent>
                  <w:p>
                    <w:pPr>
                      <w:pStyle w:val="15"/>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27</w:t>
                    </w:r>
                    <w:r>
                      <w:rPr>
                        <w:sz w:val="20"/>
                        <w:szCs w:val="24"/>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footer"/>
    <w:basedOn w:val="0"/>
    <w:pPr>
      <w:tabs>
        <w:tab w:val="center" w:pos="4153"/>
        <w:tab w:val="right" w:pos="8307"/>
      </w:tabs>
      <w:snapToGrid w:val="0"/>
      <w:jc w:val="left"/>
    </w:pPr>
    <w:rPr>
      <w:sz w:val="18"/>
    </w:rPr>
  </w:style>
  <w:style w:type="paragraph" w:styleId="16">
    <w:name w:val="header"/>
    <w:basedOn w:val="0"/>
    <w:pPr>
      <w:tabs>
        <w:tab w:val="center" w:pos="4153"/>
        <w:tab w:val="right" w:pos="8306"/>
      </w:tabs>
      <w:snapToGrid w:val="0"/>
    </w:pPr>
    <w:rPr>
      <w:sz w:val="18"/>
    </w:rPr>
  </w:style>
  <w:style w:type="character" w:styleId="17">
    <w:name w:val="page number"/>
    <w:basedOn w:val="10"/>
  </w:style>
  <w:style w:type="paragraph" w:customStyle="1" w:styleId="18">
    <w:name w:val="样式 4 10 磅"/>
    <w:basedOn w:val="0"/>
    <w:rPr>
      <w:rFonts w:ascii="Times New Roman" w:cs="Times New Roman" w:hAnsi="Times New Roman"/>
      <w:szCs w:val="21"/>
    </w:rPr>
  </w:style>
  <w:style w:type="paragraph" w:customStyle="1" w:styleId="19">
    <w:name w:val="样式 51 10 磅"/>
    <w:basedOn w:val="0"/>
    <w:rPr>
      <w:rFonts w:ascii="Times New Roman" w:cs="Times New Roman" w:hAnsi="Times New Roman"/>
      <w:szCs w:val="21"/>
    </w:rPr>
  </w:style>
  <w:style w:type="paragraph" w:customStyle="1" w:styleId="20">
    <w:name w:val="样式 36 10 磅"/>
    <w:basedOn w:val="0"/>
    <w:rPr>
      <w:rFonts w:ascii="Times New Roman" w:cs="Times New Roman" w:hAnsi="Times New Roman"/>
      <w:szCs w:val="21"/>
    </w:rPr>
  </w:style>
  <w:style w:type="paragraph" w:customStyle="1" w:styleId="21">
    <w:name w:val="样式 49 10 磅"/>
    <w:basedOn w:val="0"/>
    <w:rPr>
      <w:rFonts w:ascii="Times New Roman" w:cs="Times New Roman" w:hAnsi="Times New Roman"/>
      <w:szCs w:val="21"/>
    </w:rPr>
  </w:style>
  <w:style w:type="character" w:customStyle="1" w:styleId="22">
    <w:name w:val="font41"/>
    <w:basedOn w:val="10"/>
    <w:rPr>
      <w:rFonts w:ascii="宋体" w:eastAsia="宋体" w:cs="宋体"/>
      <w:color w:val="000000"/>
      <w:sz w:val="22"/>
      <w:szCs w:val="22"/>
      <w:u w:val="none"/>
    </w:rPr>
  </w:style>
  <w:style w:type="character" w:customStyle="1" w:styleId="23">
    <w:name w:val="font61"/>
    <w:basedOn w:val="10"/>
    <w:rPr>
      <w:rFonts w:ascii="宋体" w:eastAsia="宋体" w:cs="宋体"/>
      <w:color w:val="000000"/>
      <w:sz w:val="22"/>
      <w:szCs w:val="22"/>
      <w:u w:val="none"/>
    </w:rPr>
  </w:style>
  <w:style w:type="character" w:customStyle="1" w:styleId="24">
    <w:name w:val="font71"/>
    <w:basedOn w:val="10"/>
    <w:rPr>
      <w:rFonts w:ascii="Times New Roman" w:cs="Times New Roman" w:hAnsi="Times New Roman"/>
      <w:color w:val="000000"/>
      <w:sz w:val="22"/>
      <w:szCs w:val="22"/>
      <w:u w:val="none"/>
    </w:rPr>
  </w:style>
  <w:style w:type="character" w:customStyle="1" w:styleId="25">
    <w:name w:val="font51"/>
    <w:basedOn w:val="10"/>
    <w:rPr>
      <w:rFonts w:ascii="宋体" w:eastAsia="宋体" w:cs="宋体"/>
      <w:color w:val="000000"/>
      <w:sz w:val="22"/>
      <w:szCs w:val="22"/>
      <w:u w:val="none"/>
    </w:rPr>
  </w:style>
  <w:style w:type="character" w:customStyle="1" w:styleId="26">
    <w:name w:val="font01"/>
    <w:basedOn w:val="10"/>
    <w:rPr>
      <w:rFonts w:ascii="宋体" w:eastAsia="宋体" w:cs="宋体"/>
      <w:color w:val="000000"/>
      <w:sz w:val="22"/>
      <w:szCs w:val="22"/>
      <w:u w:val="none"/>
    </w:rPr>
  </w:style>
  <w:style w:type="paragraph" w:customStyle="1" w:styleId="27">
    <w:name w:val="样式 2 10 磅"/>
    <w:basedOn w:val="0"/>
    <w:rPr>
      <w:rFonts w:ascii="Times New Roman" w:cs="Times New Roman" w:hAnsi="Times New Roman"/>
      <w:szCs w:val="21"/>
    </w:rPr>
  </w:style>
  <w:style w:type="paragraph" w:customStyle="1" w:styleId="28">
    <w:name w:val="样式 1 10 磅"/>
    <w:basedOn w:val="0"/>
    <w:rPr>
      <w:rFonts w:ascii="Times New Roman" w:cs="Times New Roman" w:hAnsi="Times New Roman"/>
      <w:szCs w:val="21"/>
    </w:rPr>
  </w:style>
  <w:style w:type="paragraph" w:styleId="29">
    <w:name w:val="Balloon Text"/>
    <w:basedOn w:val="0"/>
    <w:rPr>
      <w:sz w:val="18"/>
      <w:szCs w:val="18"/>
    </w:rPr>
  </w:style>
  <w:style w:type="paragraph" w:customStyle="1" w:styleId="30">
    <w:name w:val="样式 10 磅"/>
    <w:pPr>
      <w:widowControl w:val="0"/>
      <w:jc w:val="both"/>
    </w:pPr>
    <w:rPr>
      <w:rFonts w:ascii="Calibri" w:eastAsia="宋体" w:cs="Arial" w:hAnsi="Calibri"/>
      <w:kern w:val="2"/>
      <w:sz w:val="21"/>
      <w:szCs w:val="22"/>
      <w:lang w:val="en-US" w:eastAsia="zh-CN" w:bidi="ar-SA"/>
    </w:rPr>
  </w:style>
  <w:style w:type="paragraph" w:customStyle="1" w:styleId="31">
    <w:name w:val="样式 3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610</TotalTime>
  <Application>Yozo_Office</Application>
  <Pages>28</Pages>
  <Words>7046</Words>
  <Characters>8162</Characters>
  <Lines>1000</Lines>
  <Paragraphs>488</Paragraphs>
  <CharactersWithSpaces>8630</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汪涵</cp:lastModifiedBy>
  <cp:revision>19</cp:revision>
  <dcterms:created xsi:type="dcterms:W3CDTF">2023-03-22T01:35:00Z</dcterms:created>
  <dcterms:modified xsi:type="dcterms:W3CDTF">2025-04-22T08:26:25Z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2052-11.1.0.13703</vt:lpwstr>
  </property>
  <property fmtid="{D5CDD505-2E9C-101B-9397-08002B2CF9AE}" pid="3" name="ICV">
    <vt:lpwstr>549C4AFD17B24936AA0EF0C3A256E8AB</vt:lpwstr>
  </property>
</Properties>
</file>