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Times New Roman" w:hAnsi="Times New Roman"/>
          <w:sz w:val="48"/>
          <w:szCs w:val="48"/>
        </w:rPr>
      </w:pPr>
      <w:r>
        <w:rPr>
          <w:rFonts w:ascii="Times New Roman" w:hAnsi="Times New Roman"/>
        </w:rPr>
        <w:drawing>
          <wp:inline distT="0" distB="0" distL="0" distR="0">
            <wp:extent cx="2590800" cy="259080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2590800" cy="2590800"/>
                    </a:xfrm>
                    <a:prstGeom prst="rect"/>
                    <a:noFill/>
                    <a:ln w="9525" cmpd="sng" cap="flat">
                      <a:noFill/>
                      <a:prstDash val="solid"/>
                      <a:round/>
                    </a:ln>
                  </pic:spPr>
                </pic:pic>
              </a:graphicData>
            </a:graphic>
          </wp:inline>
        </w:drawing>
      </w:r>
    </w:p>
    <w:p>
      <w:pPr>
        <w:jc w:val="center"/>
        <w:rPr>
          <w:rFonts w:ascii="Times New Roman" w:hAnsi="Times New Roman"/>
          <w:sz w:val="84"/>
          <w:szCs w:val="84"/>
        </w:rPr>
      </w:pPr>
    </w:p>
    <w:p>
      <w:pPr>
        <w:jc w:val="center"/>
        <w:rPr>
          <w:rFonts w:ascii="Times New Roman" w:hAnsi="Times New Roman"/>
          <w:sz w:val="84"/>
          <w:szCs w:val="84"/>
        </w:rPr>
      </w:pPr>
      <w:r>
        <w:rPr>
          <w:rFonts w:ascii="Times New Roman" w:hAnsi="Times New Roman" w:hint="eastAsia"/>
          <w:sz w:val="84"/>
          <w:szCs w:val="84"/>
        </w:rPr>
        <w:t>马尾海关部门预算</w:t>
      </w:r>
    </w:p>
    <w:p>
      <w:pPr>
        <w:jc w:val="center"/>
        <w:rPr>
          <w:rFonts w:ascii="Times New Roman" w:hAnsi="Times New Roman"/>
          <w:sz w:val="44"/>
          <w:szCs w:val="44"/>
        </w:rPr>
      </w:pPr>
      <w:r>
        <w:rPr>
          <w:rFonts w:ascii="Times New Roman" w:hAnsi="Times New Roman" w:hint="eastAsia"/>
          <w:sz w:val="44"/>
          <w:szCs w:val="44"/>
        </w:rPr>
        <w:t>2024年</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pgSz w:w="11906" w:h="16838"/>
          <w:pgMar w:top="1440" w:right="1800" w:bottom="1440" w:left="1800" w:header="851" w:footer="992" w:gutter="0"/>
          <w:pgNumType w:start="0"/>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rPr>
          <w:b/>
          <w:sz w:val="40"/>
          <w:szCs w:val="44"/>
        </w:rPr>
      </w:pPr>
      <w:r>
        <w:rPr>
          <w:rFonts w:ascii="宋体" w:hint="eastAsia"/>
          <w:b/>
          <w:sz w:val="40"/>
          <w:szCs w:val="44"/>
        </w:rPr>
        <w:t>第一部分</w:t>
      </w:r>
      <w:r>
        <w:rPr>
          <w:rFonts w:hint="eastAsia"/>
          <w:b/>
          <w:sz w:val="40"/>
          <w:szCs w:val="44"/>
        </w:rPr>
        <w:t xml:space="preserve">  马尾</w:t>
      </w:r>
      <w:r>
        <w:rPr>
          <w:rFonts w:ascii="宋体" w:hint="eastAsia"/>
          <w:b/>
          <w:sz w:val="40"/>
          <w:szCs w:val="44"/>
        </w:rPr>
        <w:t>海关部门概况</w:t>
      </w:r>
    </w:p>
    <w:p>
      <w:pPr>
        <w:rPr>
          <w:sz w:val="32"/>
          <w:szCs w:val="36"/>
        </w:rPr>
      </w:pPr>
      <w:r>
        <w:rPr>
          <w:rFonts w:ascii="宋体" w:hint="eastAsia"/>
          <w:sz w:val="32"/>
          <w:szCs w:val="36"/>
        </w:rPr>
        <w:t>一、主要职能</w:t>
      </w:r>
    </w:p>
    <w:p>
      <w:pPr>
        <w:rPr>
          <w:sz w:val="32"/>
          <w:szCs w:val="36"/>
        </w:rPr>
      </w:pPr>
      <w:r>
        <w:rPr>
          <w:rFonts w:ascii="宋体" w:hint="eastAsia"/>
          <w:sz w:val="32"/>
          <w:szCs w:val="36"/>
        </w:rPr>
        <w:t>二、单位构成情况</w:t>
      </w:r>
      <w:r>
        <w:rPr>
          <w:rFonts w:hint="eastAsia"/>
          <w:sz w:val="32"/>
          <w:szCs w:val="36"/>
        </w:rPr>
        <w:t xml:space="preserve"> </w:t>
      </w:r>
    </w:p>
    <w:p>
      <w:pPr>
        <w:rPr>
          <w:b/>
          <w:sz w:val="40"/>
          <w:szCs w:val="44"/>
        </w:rPr>
      </w:pPr>
      <w:r>
        <w:rPr>
          <w:rFonts w:ascii="宋体" w:hint="eastAsia"/>
          <w:b/>
          <w:sz w:val="40"/>
          <w:szCs w:val="44"/>
        </w:rPr>
        <w:t>第二部分</w:t>
      </w:r>
      <w:r>
        <w:rPr>
          <w:rFonts w:hint="eastAsia"/>
          <w:b/>
          <w:sz w:val="40"/>
          <w:szCs w:val="44"/>
        </w:rPr>
        <w:t xml:space="preserve">  马尾</w:t>
      </w:r>
      <w:r>
        <w:rPr>
          <w:rFonts w:ascii="宋体" w:hint="eastAsia"/>
          <w:b/>
          <w:sz w:val="40"/>
          <w:szCs w:val="44"/>
        </w:rPr>
        <w:t>海关</w:t>
      </w:r>
      <w:r>
        <w:rPr>
          <w:b/>
          <w:sz w:val="40"/>
          <w:szCs w:val="44"/>
        </w:rPr>
        <w:t>202</w:t>
      </w:r>
      <w:r>
        <w:rPr>
          <w:rFonts w:hint="eastAsia"/>
          <w:b/>
          <w:sz w:val="40"/>
          <w:szCs w:val="44"/>
        </w:rPr>
        <w:t>4</w:t>
      </w:r>
      <w:r>
        <w:rPr>
          <w:rFonts w:ascii="宋体" w:hint="eastAsia"/>
          <w:b/>
          <w:sz w:val="40"/>
          <w:szCs w:val="44"/>
        </w:rPr>
        <w:t>年部门预算表</w:t>
      </w:r>
    </w:p>
    <w:p>
      <w:pPr>
        <w:rPr>
          <w:color w:val="3366FF"/>
          <w:sz w:val="32"/>
          <w:szCs w:val="36"/>
        </w:rPr>
      </w:pPr>
      <w:r>
        <w:rPr>
          <w:rFonts w:ascii="宋体" w:hint="eastAsia"/>
          <w:sz w:val="32"/>
          <w:szCs w:val="36"/>
        </w:rPr>
        <w:t>一、</w:t>
      </w:r>
      <w:r>
        <w:rPr>
          <w:rFonts w:ascii="宋体"/>
          <w:sz w:val="32"/>
          <w:szCs w:val="36"/>
        </w:rPr>
        <w:t>部门</w:t>
      </w:r>
      <w:r>
        <w:rPr>
          <w:rFonts w:ascii="宋体" w:hint="eastAsia"/>
          <w:sz w:val="32"/>
          <w:szCs w:val="36"/>
        </w:rPr>
        <w:t>收支总表</w:t>
      </w:r>
    </w:p>
    <w:p>
      <w:pPr>
        <w:pStyle w:val="28"/>
        <w:rPr>
          <w:sz w:val="32"/>
          <w:szCs w:val="36"/>
        </w:rPr>
      </w:pPr>
      <w:r>
        <w:rPr>
          <w:rFonts w:ascii="宋体" w:hint="eastAsia"/>
          <w:sz w:val="32"/>
          <w:szCs w:val="36"/>
        </w:rPr>
        <w:t>二、部门收入总表</w:t>
      </w:r>
    </w:p>
    <w:p>
      <w:pPr>
        <w:pStyle w:val="27"/>
        <w:rPr>
          <w:sz w:val="32"/>
          <w:szCs w:val="36"/>
        </w:rPr>
      </w:pPr>
      <w:r>
        <w:rPr>
          <w:rFonts w:ascii="宋体" w:hint="eastAsia"/>
          <w:sz w:val="32"/>
          <w:szCs w:val="36"/>
        </w:rPr>
        <w:t>三、部门支出总表</w:t>
      </w:r>
    </w:p>
    <w:p>
      <w:pPr>
        <w:rPr>
          <w:sz w:val="32"/>
          <w:szCs w:val="36"/>
        </w:rPr>
      </w:pPr>
      <w:r>
        <w:rPr>
          <w:rFonts w:ascii="宋体" w:hint="eastAsia"/>
          <w:sz w:val="32"/>
          <w:szCs w:val="36"/>
        </w:rPr>
        <w:t>四、</w:t>
      </w:r>
      <w:r>
        <w:rPr>
          <w:rFonts w:ascii="宋体"/>
          <w:sz w:val="32"/>
          <w:szCs w:val="36"/>
        </w:rPr>
        <w:t>财政拨款收支总表</w:t>
      </w:r>
    </w:p>
    <w:p>
      <w:pPr>
        <w:rPr>
          <w:sz w:val="32"/>
          <w:szCs w:val="36"/>
        </w:rPr>
      </w:pPr>
      <w:r>
        <w:rPr>
          <w:rFonts w:ascii="宋体" w:hint="eastAsia"/>
          <w:sz w:val="32"/>
          <w:szCs w:val="36"/>
        </w:rPr>
        <w:t>五、</w:t>
      </w:r>
      <w:r>
        <w:rPr>
          <w:rFonts w:ascii="宋体"/>
          <w:sz w:val="32"/>
          <w:szCs w:val="36"/>
        </w:rPr>
        <w:t>一般公共预算支出表</w:t>
      </w:r>
    </w:p>
    <w:p>
      <w:pPr>
        <w:rPr>
          <w:color w:val="339966"/>
          <w:sz w:val="32"/>
          <w:szCs w:val="36"/>
        </w:rPr>
      </w:pPr>
      <w:r>
        <w:rPr>
          <w:rFonts w:ascii="宋体" w:hint="eastAsia"/>
          <w:sz w:val="32"/>
          <w:szCs w:val="36"/>
        </w:rPr>
        <w:t>六、</w:t>
      </w:r>
      <w:r>
        <w:rPr>
          <w:rFonts w:ascii="宋体"/>
          <w:sz w:val="32"/>
          <w:szCs w:val="36"/>
        </w:rPr>
        <w:t>一般公共预算基本支出表</w:t>
      </w:r>
    </w:p>
    <w:p>
      <w:pPr>
        <w:rPr>
          <w:sz w:val="32"/>
          <w:szCs w:val="36"/>
        </w:rPr>
      </w:pPr>
      <w:r>
        <w:rPr>
          <w:rFonts w:ascii="宋体" w:hint="eastAsia"/>
          <w:sz w:val="32"/>
          <w:szCs w:val="36"/>
        </w:rPr>
        <w:t>七、</w:t>
      </w:r>
      <w:r>
        <w:rPr>
          <w:rFonts w:ascii="宋体"/>
          <w:sz w:val="32"/>
          <w:szCs w:val="36"/>
        </w:rPr>
        <w:t>政府性基金预算支出表</w:t>
      </w:r>
    </w:p>
    <w:p>
      <w:pPr>
        <w:rPr>
          <w:rFonts w:ascii="宋体"/>
          <w:sz w:val="32"/>
          <w:szCs w:val="36"/>
        </w:rPr>
      </w:pPr>
      <w:r>
        <w:rPr>
          <w:rFonts w:ascii="宋体" w:hint="eastAsia"/>
          <w:sz w:val="32"/>
          <w:szCs w:val="36"/>
        </w:rPr>
        <w:t>八、</w:t>
      </w:r>
      <w:r>
        <w:rPr>
          <w:rFonts w:ascii="宋体"/>
          <w:sz w:val="32"/>
          <w:szCs w:val="36"/>
        </w:rPr>
        <w:t>国有资本经营预算支出表</w:t>
      </w:r>
    </w:p>
    <w:p>
      <w:pPr>
        <w:rPr>
          <w:sz w:val="32"/>
          <w:szCs w:val="36"/>
        </w:rPr>
      </w:pPr>
      <w:r>
        <w:rPr>
          <w:rFonts w:ascii="宋体"/>
          <w:sz w:val="32"/>
          <w:szCs w:val="36"/>
        </w:rPr>
        <w:t>九、</w:t>
      </w:r>
      <w:r>
        <w:rPr>
          <w:rFonts w:ascii="宋体" w:hint="eastAsia"/>
          <w:sz w:val="32"/>
          <w:szCs w:val="36"/>
        </w:rPr>
        <w:t>财政拨款预算“三公”经费支出表</w:t>
      </w:r>
    </w:p>
    <w:p>
      <w:pPr>
        <w:ind w:left="1968" w:hangingChars="492" w:hanging="1968"/>
        <w:rPr>
          <w:b/>
          <w:sz w:val="40"/>
          <w:szCs w:val="44"/>
        </w:rPr>
      </w:pPr>
      <w:r>
        <w:rPr>
          <w:rFonts w:ascii="宋体" w:hint="eastAsia"/>
          <w:b/>
          <w:sz w:val="40"/>
          <w:szCs w:val="44"/>
        </w:rPr>
        <w:t>第三部分</w:t>
      </w:r>
      <w:r>
        <w:rPr>
          <w:rFonts w:hint="eastAsia"/>
          <w:b/>
          <w:sz w:val="40"/>
          <w:szCs w:val="44"/>
        </w:rPr>
        <w:t xml:space="preserve">  马尾</w:t>
      </w:r>
      <w:r>
        <w:rPr>
          <w:rFonts w:ascii="宋体" w:hint="eastAsia"/>
          <w:b/>
          <w:sz w:val="40"/>
          <w:szCs w:val="44"/>
        </w:rPr>
        <w:t>海关</w:t>
      </w:r>
      <w:r>
        <w:rPr>
          <w:b/>
          <w:sz w:val="40"/>
          <w:szCs w:val="44"/>
        </w:rPr>
        <w:t>202</w:t>
      </w:r>
      <w:r>
        <w:rPr>
          <w:rFonts w:hint="eastAsia"/>
          <w:b/>
          <w:sz w:val="40"/>
          <w:szCs w:val="44"/>
        </w:rPr>
        <w:t>4</w:t>
      </w:r>
      <w:r>
        <w:rPr>
          <w:rFonts w:ascii="宋体" w:hint="eastAsia"/>
          <w:b/>
          <w:sz w:val="40"/>
          <w:szCs w:val="44"/>
        </w:rPr>
        <w:t>年部门预算情况说明</w:t>
      </w:r>
    </w:p>
    <w:p>
      <w:pPr>
        <w:rPr>
          <w:b/>
          <w:sz w:val="40"/>
          <w:szCs w:val="44"/>
        </w:rPr>
      </w:pPr>
      <w:r>
        <w:rPr>
          <w:rFonts w:ascii="宋体" w:hint="eastAsia"/>
          <w:b/>
          <w:sz w:val="40"/>
          <w:szCs w:val="44"/>
        </w:rPr>
        <w:t>第四部分</w:t>
      </w:r>
      <w:r>
        <w:rPr>
          <w:rFonts w:hint="eastAsia"/>
          <w:b/>
          <w:sz w:val="40"/>
          <w:szCs w:val="44"/>
        </w:rPr>
        <w:t xml:space="preserve">  </w:t>
      </w:r>
      <w:r>
        <w:rPr>
          <w:rFonts w:ascii="宋体" w:hint="eastAsia"/>
          <w:b/>
          <w:sz w:val="40"/>
          <w:szCs w:val="44"/>
        </w:rPr>
        <w:t>名词解释</w:t>
      </w:r>
    </w:p>
    <w:p>
      <w:pPr>
        <w:rPr>
          <w:rFonts w:ascii="宋体"/>
          <w:b/>
          <w:sz w:val="40"/>
          <w:szCs w:val="44"/>
        </w:rPr>
      </w:pPr>
      <w:r>
        <w:rPr>
          <w:rFonts w:ascii="宋体" w:hint="eastAsia"/>
          <w:b/>
          <w:sz w:val="40"/>
          <w:szCs w:val="44"/>
        </w:rPr>
        <w:t>第五部分</w:t>
      </w:r>
      <w:r>
        <w:rPr>
          <w:rFonts w:hint="eastAsia"/>
          <w:b/>
          <w:sz w:val="40"/>
          <w:szCs w:val="44"/>
        </w:rPr>
        <w:t xml:space="preserve">  </w:t>
      </w:r>
      <w:r>
        <w:rPr>
          <w:rFonts w:ascii="宋体" w:hint="eastAsia"/>
          <w:b/>
          <w:sz w:val="40"/>
          <w:szCs w:val="44"/>
        </w:rPr>
        <w:t>附件</w:t>
      </w:r>
    </w:p>
    <w:p/>
    <w:p>
      <w:pPr>
        <w:tabs>
          <w:tab w:val="left" w:pos="6241"/>
        </w:tabs>
        <w:jc w:val="left"/>
        <w:sectPr>
          <w:footerReference w:type="default" r:id="rId3"/>
          <w:pgSz w:w="11906" w:h="16838"/>
          <w:pgMar w:top="1440" w:right="1800" w:bottom="1440" w:left="1800" w:header="851" w:footer="992" w:gutter="0"/>
          <w:pgNumType w:start="1"/>
          <w:docGrid w:type="lines" w:linePitch="312" w:charSpace="0"/>
        </w:sectPr>
      </w:pPr>
      <w:r>
        <w:rPr>
          <w:rFonts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ascii="Times New Roman" w:hAnsi="Times New Roman" w:hint="eastAsia"/>
          <w:b/>
          <w:sz w:val="84"/>
          <w:szCs w:val="84"/>
        </w:rPr>
        <w:t>马尾海关部门概况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一、主要职能</w:t>
      </w:r>
    </w:p>
    <w:p>
      <w:pPr>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马尾海关是受福州海关直接领导，按授权负责马尾区、长乐区行政辖区内海港口岸（除长乐区松下港外）和马尾区行政辖区内福州出口加工区等特殊监管区域海关各类管理工作的执行机构。负责党的基层组织建设和干部队伍建设；办理具体海关业务，反馈执法作业结果；承办上级交办的其他工作事项。</w:t>
      </w: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w:t>
      </w:r>
      <w:r>
        <w:rPr>
          <w:rFonts w:ascii="Times New Roman" w:eastAsia="方正黑体_GBK" w:hAnsi="Times New Roman" w:hint="eastAsia"/>
          <w:sz w:val="32"/>
          <w:szCs w:val="32"/>
        </w:rPr>
        <w:t>马尾</w:t>
      </w:r>
      <w:r>
        <w:rPr>
          <w:rFonts w:ascii="Times New Roman" w:eastAsia="方正黑体_GBK" w:hAnsi="Times New Roman"/>
          <w:sz w:val="32"/>
          <w:szCs w:val="32"/>
        </w:rPr>
        <w:t>海关单位构成情况</w:t>
      </w:r>
    </w:p>
    <w:p>
      <w:pPr>
        <w:spacing w:line="540" w:lineRule="exact"/>
        <w:ind w:firstLineChars="150" w:firstLine="480"/>
        <w:rPr>
          <w:rFonts w:ascii="方正仿宋_GBK" w:eastAsia="方正仿宋_GBK"/>
          <w:sz w:val="32"/>
          <w:szCs w:val="32"/>
        </w:rPr>
      </w:pPr>
      <w:r>
        <w:rPr>
          <w:rFonts w:eastAsia="方正仿宋_GBK" w:hint="eastAsia"/>
          <w:sz w:val="32"/>
          <w:szCs w:val="32"/>
        </w:rPr>
        <w:t>马尾海关内设机构：</w:t>
      </w:r>
      <w:r>
        <w:rPr>
          <w:rFonts w:ascii="方正仿宋_GBK" w:eastAsia="方正仿宋_GBK" w:hint="eastAsia"/>
          <w:sz w:val="32"/>
          <w:szCs w:val="32"/>
        </w:rPr>
        <w:t>办公室、人事政工科、行财科、综合业务一科、综合业务二科、法制科、运输工具监管科、物流监控科、查验一科、查验二科、查验三科、旅检科、跨境电商监管科、亭江监管科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纳入马尾海关2024年部门预算编制范围的单位如下：</w:t>
      </w:r>
    </w:p>
    <w:tbl>
      <w:tblPr>
        <w:jc w:val="center"/>
        <w:tblW w:w="80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20"/>
        <w:gridCol w:w="2977"/>
        <w:gridCol w:w="709"/>
        <w:gridCol w:w="3519"/>
      </w:tblGrid>
      <w:tr>
        <w:trPr>
          <w:trHeight w:val="624"/>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序号</w:t>
            </w:r>
          </w:p>
        </w:tc>
        <w:tc>
          <w:tcPr>
            <w:tcW w:w="2977"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单位名称</w:t>
            </w:r>
          </w:p>
        </w:tc>
        <w:tc>
          <w:tcPr>
            <w:tcW w:w="709"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序号</w:t>
            </w:r>
          </w:p>
        </w:tc>
        <w:tc>
          <w:tcPr>
            <w:tcW w:w="3519"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单位名称</w:t>
            </w:r>
          </w:p>
        </w:tc>
      </w:tr>
      <w:tr>
        <w:trPr>
          <w:trHeight w:val="624"/>
        </w:trPr>
        <w:tc>
          <w:tcPr>
            <w:tcW w:w="820"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r>
              <w:rPr>
                <w:rFonts w:ascii="Times New Roman" w:cs="Times New Roman" w:hAnsi="Times New Roman"/>
                <w:kern w:val="0"/>
                <w:sz w:val="20"/>
                <w:szCs w:val="20"/>
              </w:rPr>
              <w:t>1</w:t>
            </w: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r>
              <w:rPr>
                <w:rFonts w:ascii="宋体" w:hint="eastAsia"/>
                <w:color w:val="000000"/>
                <w:sz w:val="20"/>
                <w:szCs w:val="20"/>
              </w:rPr>
              <w:t>马尾海关</w:t>
            </w: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r>
              <w:rPr>
                <w:rFonts w:ascii="Times New Roman" w:cs="Times New Roman" w:hAnsi="Times New Roman"/>
                <w:kern w:val="0"/>
                <w:sz w:val="20"/>
                <w:szCs w:val="20"/>
              </w:rPr>
              <w:t>2</w:t>
            </w:r>
          </w:p>
        </w:tc>
        <w:tc>
          <w:tcPr>
            <w:tcW w:w="351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r>
              <w:rPr>
                <w:rFonts w:ascii="宋体" w:hint="eastAsia"/>
                <w:color w:val="000000"/>
                <w:sz w:val="20"/>
                <w:szCs w:val="20"/>
              </w:rPr>
              <w:t>马尾海关缉私分局</w:t>
            </w:r>
          </w:p>
        </w:tc>
      </w:tr>
      <w:tr>
        <w:trPr>
          <w:trHeight w:val="624"/>
        </w:trPr>
        <w:tc>
          <w:tcPr>
            <w:tcW w:w="820"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p>
        </w:tc>
        <w:tc>
          <w:tcPr>
            <w:tcW w:w="351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bl>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hint="eastAsia"/>
          <w:sz w:val="84"/>
          <w:szCs w:val="84"/>
        </w:rPr>
      </w:pPr>
    </w:p>
    <w:p>
      <w:pPr>
        <w:jc w:val="center"/>
        <w:rPr>
          <w:rFonts w:ascii="Times New Roman" w:eastAsia="方正仿宋_GBK" w:hAnsi="Times New Roman" w:hint="eastAsia"/>
          <w:sz w:val="84"/>
          <w:szCs w:val="84"/>
        </w:rPr>
      </w:pPr>
    </w:p>
    <w:p>
      <w:pPr>
        <w:jc w:val="center"/>
        <w:rPr>
          <w:rFonts w:ascii="Times New Roman" w:eastAsia="方正仿宋_GBK" w:hAnsi="Times New Roman"/>
          <w:sz w:val="84"/>
          <w:szCs w:val="84"/>
        </w:rPr>
      </w:pPr>
    </w:p>
    <w:p>
      <w:pPr>
        <w:jc w:val="center"/>
        <w:rPr>
          <w:rFonts w:ascii="宋体" w:eastAsia="宋体"/>
          <w:b/>
          <w:sz w:val="84"/>
          <w:szCs w:val="84"/>
        </w:rPr>
      </w:pPr>
      <w:r>
        <w:rPr>
          <w:rFonts w:ascii="宋体" w:eastAsia="宋体" w:hint="eastAsia"/>
          <w:b/>
          <w:sz w:val="84"/>
          <w:szCs w:val="84"/>
        </w:rPr>
        <w:t>第二部分</w:t>
      </w:r>
    </w:p>
    <w:p>
      <w:pPr>
        <w:jc w:val="center"/>
        <w:rPr>
          <w:rFonts w:ascii="宋体" w:eastAsia="宋体" w:hint="eastAsia"/>
          <w:b/>
          <w:sz w:val="84"/>
          <w:szCs w:val="84"/>
        </w:rPr>
      </w:pPr>
      <w:r>
        <w:rPr>
          <w:rFonts w:ascii="宋体" w:eastAsia="宋体" w:hint="eastAsia"/>
          <w:b/>
          <w:sz w:val="84"/>
          <w:szCs w:val="84"/>
        </w:rPr>
        <w:t>马尾海关</w:t>
      </w:r>
      <w:r>
        <w:rPr>
          <w:rFonts w:ascii="宋体" w:eastAsia="宋体"/>
          <w:b/>
          <w:sz w:val="84"/>
          <w:szCs w:val="84"/>
        </w:rPr>
        <w:t>202</w:t>
      </w:r>
      <w:r>
        <w:rPr>
          <w:rFonts w:ascii="宋体" w:eastAsia="宋体" w:hint="eastAsia"/>
          <w:b/>
          <w:sz w:val="84"/>
          <w:szCs w:val="84"/>
        </w:rPr>
        <w:t>4年</w:t>
      </w:r>
    </w:p>
    <w:p>
      <w:pPr>
        <w:jc w:val="center"/>
        <w:rPr>
          <w:rFonts w:ascii="宋体" w:eastAsia="宋体"/>
          <w:sz w:val="84"/>
          <w:szCs w:val="84"/>
        </w:rPr>
      </w:pPr>
      <w:r>
        <w:rPr>
          <w:rFonts w:ascii="宋体" w:eastAsia="宋体" w:hint="eastAsia"/>
          <w:b/>
          <w:sz w:val="84"/>
          <w:szCs w:val="84"/>
        </w:rPr>
        <w:t>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tbl>
      <w:tblPr>
        <w:jc w:val="left"/>
        <w:tblInd w:w="93" w:type="dxa"/>
        <w:tblW w:w="131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400"/>
        <w:gridCol w:w="2960"/>
        <w:gridCol w:w="3560"/>
        <w:gridCol w:w="3180"/>
      </w:tblGrid>
      <w:tr>
        <w:trPr>
          <w:trHeight w:val="300"/>
        </w:trPr>
        <w:tc>
          <w:tcPr>
            <w:tcW w:w="3400" w:type="dxa"/>
            <w:tcBorders>
              <w:top w:val="nil"/>
              <w:left w:val="nil"/>
              <w:bottom w:val="nil"/>
              <w:right w:val="nil"/>
            </w:tcBorders>
            <w:shd w:val="clear" w:color="auto" w:fill="auto"/>
            <w:noWrap/>
            <w:vAlign w:val="center"/>
          </w:tcPr>
          <w:p>
            <w:pPr>
              <w:widowControl/>
              <w:jc w:val="left"/>
              <w:rPr>
                <w:rFonts w:ascii="Arial" w:hAnsi="Arial"/>
                <w:kern w:val="0"/>
                <w:sz w:val="20"/>
                <w:szCs w:val="20"/>
              </w:rPr>
            </w:pPr>
          </w:p>
        </w:tc>
        <w:tc>
          <w:tcPr>
            <w:tcW w:w="2960" w:type="dxa"/>
            <w:tcBorders>
              <w:top w:val="nil"/>
              <w:left w:val="nil"/>
              <w:bottom w:val="nil"/>
              <w:right w:val="nil"/>
            </w:tcBorders>
            <w:shd w:val="clear" w:color="auto" w:fill="auto"/>
            <w:noWrap/>
            <w:vAlign w:val="center"/>
          </w:tcPr>
          <w:p>
            <w:pPr>
              <w:widowControl/>
              <w:jc w:val="left"/>
              <w:rPr>
                <w:rFonts w:ascii="Arial" w:hAnsi="Arial"/>
                <w:kern w:val="0"/>
                <w:sz w:val="20"/>
                <w:szCs w:val="20"/>
              </w:rPr>
            </w:pPr>
          </w:p>
        </w:tc>
        <w:tc>
          <w:tcPr>
            <w:tcW w:w="3560" w:type="dxa"/>
            <w:tcBorders>
              <w:top w:val="nil"/>
              <w:left w:val="nil"/>
              <w:bottom w:val="nil"/>
              <w:right w:val="nil"/>
            </w:tcBorders>
            <w:shd w:val="clear" w:color="auto" w:fill="auto"/>
            <w:noWrap/>
            <w:vAlign w:val="center"/>
          </w:tcPr>
          <w:p>
            <w:pPr>
              <w:widowControl/>
              <w:jc w:val="left"/>
              <w:rPr>
                <w:rFonts w:ascii="Arial" w:hAnsi="Arial"/>
                <w:kern w:val="0"/>
                <w:sz w:val="20"/>
                <w:szCs w:val="20"/>
              </w:rPr>
            </w:pPr>
          </w:p>
        </w:tc>
        <w:tc>
          <w:tcPr>
            <w:tcW w:w="3180" w:type="dxa"/>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Times New Roman" w:eastAsia="黑体" w:cs="宋体" w:hAnsi="Times New Roman" w:hint="eastAsia"/>
                <w:color w:val="000000"/>
                <w:kern w:val="0"/>
                <w:sz w:val="20"/>
                <w:szCs w:val="20"/>
              </w:rPr>
              <w:t>部门公开</w:t>
            </w:r>
            <w:r>
              <w:rPr>
                <w:rFonts w:ascii="宋体" w:cs="宋体" w:hint="eastAsia"/>
                <w:color w:val="000000"/>
                <w:kern w:val="0"/>
                <w:sz w:val="20"/>
                <w:szCs w:val="20"/>
              </w:rPr>
              <w:t>表1</w:t>
            </w:r>
          </w:p>
        </w:tc>
      </w:tr>
      <w:tr>
        <w:trPr>
          <w:trHeight w:val="615"/>
        </w:trPr>
        <w:tc>
          <w:tcPr>
            <w:tcW w:w="13100" w:type="dxa"/>
            <w:gridSpan w:val="4"/>
            <w:tcBorders>
              <w:top w:val="nil"/>
              <w:left w:val="nil"/>
              <w:bottom w:val="nil"/>
              <w:right w:val="nil"/>
            </w:tcBorders>
            <w:shd w:val="clear" w:color="auto" w:fill="auto"/>
            <w:noWrap/>
            <w:vAlign w:val="center"/>
          </w:tcPr>
          <w:p>
            <w:pPr>
              <w:widowControl/>
              <w:jc w:val="center"/>
              <w:rPr>
                <w:rFonts w:ascii="宋体" w:cs="宋体"/>
                <w:b/>
                <w:bCs/>
                <w:color w:val="000000"/>
                <w:kern w:val="0"/>
                <w:sz w:val="48"/>
                <w:szCs w:val="48"/>
              </w:rPr>
            </w:pPr>
            <w:r>
              <w:rPr>
                <w:rFonts w:ascii="宋体" w:cs="宋体" w:hint="eastAsia"/>
                <w:b/>
                <w:bCs/>
                <w:color w:val="000000"/>
                <w:kern w:val="0"/>
                <w:sz w:val="48"/>
                <w:szCs w:val="48"/>
              </w:rPr>
              <w:t>部门收支总表</w:t>
            </w:r>
          </w:p>
        </w:tc>
      </w:tr>
      <w:tr>
        <w:trPr>
          <w:trHeight w:val="330"/>
        </w:trPr>
        <w:tc>
          <w:tcPr>
            <w:tcW w:w="3400" w:type="dxa"/>
            <w:tcBorders>
              <w:top w:val="nil"/>
              <w:left w:val="nil"/>
              <w:bottom w:val="nil"/>
              <w:right w:val="nil"/>
            </w:tcBorders>
            <w:shd w:val="clear" w:color="auto" w:fill="auto"/>
            <w:noWrap/>
            <w:vAlign w:val="center"/>
          </w:tcPr>
          <w:p>
            <w:pPr>
              <w:widowControl/>
              <w:jc w:val="left"/>
              <w:rPr>
                <w:rFonts w:ascii="宋体" w:cs="宋体"/>
                <w:color w:val="000000"/>
                <w:kern w:val="0"/>
                <w:sz w:val="20"/>
                <w:szCs w:val="20"/>
              </w:rPr>
            </w:pPr>
          </w:p>
        </w:tc>
        <w:tc>
          <w:tcPr>
            <w:tcW w:w="2960" w:type="dxa"/>
            <w:tcBorders>
              <w:top w:val="nil"/>
              <w:left w:val="nil"/>
              <w:bottom w:val="nil"/>
              <w:right w:val="nil"/>
            </w:tcBorders>
            <w:shd w:val="clear" w:color="auto" w:fill="auto"/>
            <w:vAlign w:val="center"/>
          </w:tcPr>
          <w:p>
            <w:pPr>
              <w:widowControl/>
              <w:jc w:val="left"/>
              <w:rPr>
                <w:rFonts w:ascii="宋体" w:cs="宋体"/>
                <w:color w:val="000000"/>
                <w:kern w:val="0"/>
                <w:sz w:val="18"/>
                <w:szCs w:val="18"/>
              </w:rPr>
            </w:pPr>
          </w:p>
        </w:tc>
        <w:tc>
          <w:tcPr>
            <w:tcW w:w="3560" w:type="dxa"/>
            <w:tcBorders>
              <w:top w:val="nil"/>
              <w:left w:val="nil"/>
              <w:bottom w:val="nil"/>
              <w:right w:val="nil"/>
            </w:tcBorders>
            <w:shd w:val="clear" w:color="auto" w:fill="auto"/>
            <w:vAlign w:val="center"/>
          </w:tcPr>
          <w:p>
            <w:pPr>
              <w:widowControl/>
              <w:jc w:val="left"/>
              <w:rPr>
                <w:rFonts w:ascii="宋体" w:cs="宋体"/>
                <w:color w:val="000000"/>
                <w:kern w:val="0"/>
                <w:sz w:val="18"/>
                <w:szCs w:val="18"/>
              </w:rPr>
            </w:pPr>
          </w:p>
        </w:tc>
        <w:tc>
          <w:tcPr>
            <w:tcW w:w="3180" w:type="dxa"/>
            <w:tcBorders>
              <w:top w:val="nil"/>
              <w:left w:val="nil"/>
              <w:bottom w:val="nil"/>
              <w:right w:val="nil"/>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单位：万元</w:t>
            </w:r>
          </w:p>
        </w:tc>
      </w:tr>
      <w:tr>
        <w:trPr>
          <w:trHeight w:val="375"/>
        </w:trPr>
        <w:tc>
          <w:tcPr>
            <w:tcW w:w="63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收      入</w:t>
            </w:r>
          </w:p>
        </w:tc>
        <w:tc>
          <w:tcPr>
            <w:tcW w:w="674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支      出</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项目</w:t>
            </w:r>
          </w:p>
        </w:tc>
        <w:tc>
          <w:tcPr>
            <w:tcW w:w="296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预算数</w:t>
            </w:r>
          </w:p>
        </w:tc>
        <w:tc>
          <w:tcPr>
            <w:tcW w:w="356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项目</w:t>
            </w:r>
          </w:p>
        </w:tc>
        <w:tc>
          <w:tcPr>
            <w:tcW w:w="318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预算数</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一、一般公共预算拨款收入</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3,736.94</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一、一般公共服务支出</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4,108.40</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二、政府性基金预算拨款收入</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二、公共安全支出</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425.97</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三、国有资本经营预算拨款收入</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三、社会保障和就业支出</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680.43</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四、事业收入</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四、卫生健康支出</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248.08</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五、事业单位经营收入</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五、住房保障支出</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485.16</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六、其他收入</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1,400.00</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Arial" w:hAnsi="Arial"/>
                <w:kern w:val="0"/>
                <w:sz w:val="20"/>
                <w:szCs w:val="20"/>
              </w:rPr>
            </w:pPr>
            <w:r>
              <w:rPr>
                <w:rFonts w:ascii="Arial" w:hAnsi="Arial"/>
                <w:kern w:val="0"/>
                <w:sz w:val="20"/>
                <w:szCs w:val="20"/>
              </w:rPr>
              <w:t>本年收入合计</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5,136.94</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center"/>
              <w:rPr>
                <w:rFonts w:ascii="Arial" w:hAnsi="Arial"/>
                <w:kern w:val="0"/>
                <w:sz w:val="20"/>
                <w:szCs w:val="20"/>
              </w:rPr>
            </w:pPr>
            <w:r>
              <w:rPr>
                <w:rFonts w:ascii="Arial" w:hAnsi="Arial"/>
                <w:kern w:val="0"/>
                <w:sz w:val="20"/>
                <w:szCs w:val="20"/>
              </w:rPr>
              <w:t>本年支出合计</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5,948.04</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使用非财政拨款结余</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结转下年（非财政拨款）</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上年结转</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811.10</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r>
      <w:tr>
        <w:trPr>
          <w:trHeight w:val="375"/>
        </w:trPr>
        <w:tc>
          <w:tcPr>
            <w:tcW w:w="3400"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Arial" w:hAnsi="Arial"/>
                <w:kern w:val="0"/>
                <w:sz w:val="20"/>
                <w:szCs w:val="20"/>
              </w:rPr>
            </w:pPr>
            <w:r>
              <w:rPr>
                <w:rFonts w:ascii="Arial" w:hAnsi="Arial"/>
                <w:kern w:val="0"/>
                <w:sz w:val="20"/>
                <w:szCs w:val="20"/>
              </w:rPr>
              <w:t>收    入    总    计</w:t>
            </w:r>
          </w:p>
        </w:tc>
        <w:tc>
          <w:tcPr>
            <w:tcW w:w="296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5,948.04</w:t>
            </w:r>
          </w:p>
        </w:tc>
        <w:tc>
          <w:tcPr>
            <w:tcW w:w="3560" w:type="dxa"/>
            <w:tcBorders>
              <w:top w:val="nil"/>
              <w:left w:val="nil"/>
              <w:bottom w:val="single" w:sz="4" w:space="0" w:color="000000"/>
              <w:right w:val="single" w:sz="4" w:space="0" w:color="000000"/>
            </w:tcBorders>
            <w:shd w:val="clear" w:color="auto" w:fill="auto"/>
            <w:noWrap/>
            <w:vAlign w:val="center"/>
          </w:tcPr>
          <w:p>
            <w:pPr>
              <w:widowControl/>
              <w:jc w:val="center"/>
              <w:rPr>
                <w:rFonts w:ascii="Arial" w:hAnsi="Arial"/>
                <w:kern w:val="0"/>
                <w:sz w:val="20"/>
                <w:szCs w:val="20"/>
              </w:rPr>
            </w:pPr>
            <w:r>
              <w:rPr>
                <w:rFonts w:ascii="Arial" w:hAnsi="Arial"/>
                <w:kern w:val="0"/>
                <w:sz w:val="20"/>
                <w:szCs w:val="20"/>
              </w:rPr>
              <w:t>支    出    总    计</w:t>
            </w:r>
          </w:p>
        </w:tc>
        <w:tc>
          <w:tcPr>
            <w:tcW w:w="3180"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5,948.04</w:t>
            </w:r>
          </w:p>
        </w:tc>
      </w:tr>
    </w:tbl>
    <w:p>
      <w:r>
        <w:br w:type="page"/>
      </w:r>
    </w:p>
    <w:tbl>
      <w:tblPr>
        <w:jc w:val="left"/>
        <w:tblInd w:w="87" w:type="dxa"/>
        <w:tblW w:w="1391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60"/>
        <w:gridCol w:w="880"/>
        <w:gridCol w:w="760"/>
        <w:gridCol w:w="700"/>
        <w:gridCol w:w="640"/>
        <w:gridCol w:w="700"/>
        <w:gridCol w:w="460"/>
        <w:gridCol w:w="696"/>
        <w:gridCol w:w="856"/>
        <w:gridCol w:w="856"/>
        <w:gridCol w:w="520"/>
        <w:gridCol w:w="640"/>
        <w:gridCol w:w="520"/>
        <w:gridCol w:w="820"/>
        <w:gridCol w:w="580"/>
        <w:gridCol w:w="480"/>
        <w:gridCol w:w="540"/>
        <w:gridCol w:w="95"/>
        <w:gridCol w:w="856"/>
        <w:gridCol w:w="104"/>
        <w:gridCol w:w="1455"/>
      </w:tblGrid>
      <w:tr>
        <w:trPr>
          <w:trHeight w:val="330"/>
        </w:trPr>
        <w:tc>
          <w:tcPr>
            <w:tcW w:w="760" w:type="dxa"/>
            <w:tcBorders>
              <w:top w:val="nil"/>
              <w:left w:val="nil"/>
              <w:bottom w:val="nil"/>
              <w:right w:val="nil"/>
            </w:tcBorders>
            <w:shd w:val="clear" w:color="auto" w:fill="auto"/>
            <w:noWrap/>
            <w:vAlign w:val="bottom"/>
          </w:tcPr>
          <w:p>
            <w:pPr>
              <w:widowControl/>
              <w:jc w:val="left"/>
              <w:rPr>
                <w:rFonts w:cs="宋体"/>
                <w:kern w:val="0"/>
                <w:sz w:val="22"/>
              </w:rPr>
            </w:pPr>
          </w:p>
        </w:tc>
        <w:tc>
          <w:tcPr>
            <w:tcW w:w="880" w:type="dxa"/>
            <w:tcBorders>
              <w:top w:val="nil"/>
              <w:left w:val="nil"/>
              <w:bottom w:val="nil"/>
              <w:right w:val="nil"/>
            </w:tcBorders>
            <w:shd w:val="clear" w:color="auto" w:fill="auto"/>
            <w:noWrap/>
            <w:vAlign w:val="bottom"/>
          </w:tcPr>
          <w:p>
            <w:pPr>
              <w:widowControl/>
              <w:jc w:val="left"/>
              <w:rPr>
                <w:rFonts w:cs="宋体"/>
                <w:kern w:val="0"/>
                <w:sz w:val="22"/>
              </w:rPr>
            </w:pPr>
          </w:p>
        </w:tc>
        <w:tc>
          <w:tcPr>
            <w:tcW w:w="760" w:type="dxa"/>
            <w:tcBorders>
              <w:top w:val="nil"/>
              <w:left w:val="nil"/>
              <w:bottom w:val="nil"/>
              <w:right w:val="nil"/>
            </w:tcBorders>
            <w:shd w:val="clear" w:color="auto" w:fill="auto"/>
            <w:noWrap/>
            <w:vAlign w:val="center"/>
          </w:tcPr>
          <w:p>
            <w:pPr>
              <w:widowControl/>
              <w:jc w:val="left"/>
              <w:rPr>
                <w:rFonts w:ascii="宋体" w:cs="宋体"/>
                <w:kern w:val="0"/>
                <w:sz w:val="20"/>
                <w:szCs w:val="20"/>
              </w:rPr>
            </w:pPr>
          </w:p>
        </w:tc>
        <w:tc>
          <w:tcPr>
            <w:tcW w:w="700" w:type="dxa"/>
            <w:tcBorders>
              <w:top w:val="nil"/>
              <w:left w:val="nil"/>
              <w:bottom w:val="nil"/>
              <w:right w:val="nil"/>
            </w:tcBorders>
            <w:shd w:val="clear" w:color="auto" w:fill="auto"/>
            <w:noWrap/>
            <w:vAlign w:val="bottom"/>
          </w:tcPr>
          <w:p>
            <w:pPr>
              <w:widowControl/>
              <w:jc w:val="left"/>
              <w:rPr>
                <w:rFonts w:cs="宋体"/>
                <w:kern w:val="0"/>
                <w:sz w:val="22"/>
              </w:rPr>
            </w:pPr>
          </w:p>
        </w:tc>
        <w:tc>
          <w:tcPr>
            <w:tcW w:w="640" w:type="dxa"/>
            <w:tcBorders>
              <w:top w:val="nil"/>
              <w:left w:val="nil"/>
              <w:bottom w:val="nil"/>
              <w:right w:val="nil"/>
            </w:tcBorders>
            <w:shd w:val="clear" w:color="auto" w:fill="auto"/>
            <w:noWrap/>
            <w:vAlign w:val="bottom"/>
          </w:tcPr>
          <w:p>
            <w:pPr>
              <w:widowControl/>
              <w:jc w:val="left"/>
              <w:rPr>
                <w:rFonts w:cs="宋体"/>
                <w:kern w:val="0"/>
                <w:sz w:val="22"/>
              </w:rPr>
            </w:pPr>
          </w:p>
        </w:tc>
        <w:tc>
          <w:tcPr>
            <w:tcW w:w="700" w:type="dxa"/>
            <w:tcBorders>
              <w:top w:val="nil"/>
              <w:left w:val="nil"/>
              <w:bottom w:val="nil"/>
              <w:right w:val="nil"/>
            </w:tcBorders>
            <w:shd w:val="clear" w:color="auto" w:fill="auto"/>
            <w:noWrap/>
            <w:vAlign w:val="bottom"/>
          </w:tcPr>
          <w:p>
            <w:pPr>
              <w:widowControl/>
              <w:jc w:val="left"/>
              <w:rPr>
                <w:rFonts w:cs="宋体"/>
                <w:kern w:val="0"/>
                <w:sz w:val="22"/>
              </w:rPr>
            </w:pPr>
          </w:p>
        </w:tc>
        <w:tc>
          <w:tcPr>
            <w:tcW w:w="460" w:type="dxa"/>
            <w:tcBorders>
              <w:top w:val="nil"/>
              <w:left w:val="nil"/>
              <w:bottom w:val="nil"/>
              <w:right w:val="nil"/>
            </w:tcBorders>
            <w:shd w:val="clear" w:color="auto" w:fill="auto"/>
            <w:noWrap/>
            <w:vAlign w:val="bottom"/>
          </w:tcPr>
          <w:p>
            <w:pPr>
              <w:widowControl/>
              <w:jc w:val="left"/>
              <w:rPr>
                <w:rFonts w:cs="宋体"/>
                <w:kern w:val="0"/>
                <w:sz w:val="22"/>
              </w:rPr>
            </w:pPr>
          </w:p>
        </w:tc>
        <w:tc>
          <w:tcPr>
            <w:tcW w:w="696" w:type="dxa"/>
            <w:tcBorders>
              <w:top w:val="nil"/>
              <w:left w:val="nil"/>
              <w:bottom w:val="nil"/>
              <w:right w:val="nil"/>
            </w:tcBorders>
            <w:shd w:val="clear" w:color="auto" w:fill="auto"/>
            <w:noWrap/>
            <w:vAlign w:val="bottom"/>
          </w:tcPr>
          <w:p>
            <w:pPr>
              <w:widowControl/>
              <w:jc w:val="left"/>
              <w:rPr>
                <w:rFonts w:cs="宋体"/>
                <w:kern w:val="0"/>
                <w:sz w:val="22"/>
              </w:rPr>
            </w:pPr>
          </w:p>
        </w:tc>
        <w:tc>
          <w:tcPr>
            <w:tcW w:w="856" w:type="dxa"/>
            <w:tcBorders>
              <w:top w:val="nil"/>
              <w:left w:val="nil"/>
              <w:bottom w:val="nil"/>
              <w:right w:val="nil"/>
            </w:tcBorders>
            <w:shd w:val="clear" w:color="auto" w:fill="auto"/>
            <w:noWrap/>
            <w:vAlign w:val="bottom"/>
          </w:tcPr>
          <w:p>
            <w:pPr>
              <w:widowControl/>
              <w:jc w:val="left"/>
              <w:rPr>
                <w:rFonts w:cs="宋体"/>
                <w:kern w:val="0"/>
                <w:sz w:val="22"/>
              </w:rPr>
            </w:pPr>
          </w:p>
        </w:tc>
        <w:tc>
          <w:tcPr>
            <w:tcW w:w="856" w:type="dxa"/>
            <w:tcBorders>
              <w:top w:val="nil"/>
              <w:left w:val="nil"/>
              <w:bottom w:val="nil"/>
              <w:right w:val="nil"/>
            </w:tcBorders>
            <w:shd w:val="clear" w:color="auto" w:fill="auto"/>
            <w:noWrap/>
            <w:vAlign w:val="bottom"/>
          </w:tcPr>
          <w:p>
            <w:pPr>
              <w:widowControl/>
              <w:jc w:val="left"/>
              <w:rPr>
                <w:rFonts w:cs="宋体"/>
                <w:kern w:val="0"/>
                <w:sz w:val="22"/>
              </w:rPr>
            </w:pPr>
          </w:p>
        </w:tc>
        <w:tc>
          <w:tcPr>
            <w:tcW w:w="520" w:type="dxa"/>
            <w:tcBorders>
              <w:top w:val="nil"/>
              <w:left w:val="nil"/>
              <w:bottom w:val="nil"/>
              <w:right w:val="nil"/>
            </w:tcBorders>
            <w:shd w:val="clear" w:color="auto" w:fill="auto"/>
            <w:noWrap/>
            <w:vAlign w:val="bottom"/>
          </w:tcPr>
          <w:p>
            <w:pPr>
              <w:widowControl/>
              <w:jc w:val="left"/>
              <w:rPr>
                <w:rFonts w:cs="宋体"/>
                <w:kern w:val="0"/>
                <w:sz w:val="22"/>
              </w:rPr>
            </w:pPr>
          </w:p>
        </w:tc>
        <w:tc>
          <w:tcPr>
            <w:tcW w:w="640" w:type="dxa"/>
            <w:tcBorders>
              <w:top w:val="nil"/>
              <w:left w:val="nil"/>
              <w:bottom w:val="nil"/>
              <w:right w:val="nil"/>
            </w:tcBorders>
            <w:shd w:val="clear" w:color="auto" w:fill="auto"/>
            <w:noWrap/>
            <w:vAlign w:val="bottom"/>
          </w:tcPr>
          <w:p>
            <w:pPr>
              <w:widowControl/>
              <w:jc w:val="left"/>
              <w:rPr>
                <w:rFonts w:cs="宋体"/>
                <w:kern w:val="0"/>
                <w:sz w:val="22"/>
              </w:rPr>
            </w:pPr>
          </w:p>
        </w:tc>
        <w:tc>
          <w:tcPr>
            <w:tcW w:w="520" w:type="dxa"/>
            <w:tcBorders>
              <w:top w:val="nil"/>
              <w:left w:val="nil"/>
              <w:bottom w:val="nil"/>
              <w:right w:val="nil"/>
            </w:tcBorders>
            <w:shd w:val="clear" w:color="auto" w:fill="auto"/>
            <w:noWrap/>
            <w:vAlign w:val="bottom"/>
          </w:tcPr>
          <w:p>
            <w:pPr>
              <w:widowControl/>
              <w:jc w:val="left"/>
              <w:rPr>
                <w:rFonts w:cs="宋体"/>
                <w:kern w:val="0"/>
                <w:sz w:val="22"/>
              </w:rPr>
            </w:pPr>
          </w:p>
        </w:tc>
        <w:tc>
          <w:tcPr>
            <w:tcW w:w="820" w:type="dxa"/>
            <w:tcBorders>
              <w:top w:val="nil"/>
              <w:left w:val="nil"/>
              <w:bottom w:val="nil"/>
              <w:right w:val="nil"/>
            </w:tcBorders>
            <w:shd w:val="clear" w:color="auto" w:fill="auto"/>
            <w:noWrap/>
            <w:vAlign w:val="bottom"/>
          </w:tcPr>
          <w:p>
            <w:pPr>
              <w:widowControl/>
              <w:jc w:val="left"/>
              <w:rPr>
                <w:rFonts w:cs="宋体"/>
                <w:kern w:val="0"/>
                <w:sz w:val="22"/>
              </w:rPr>
            </w:pPr>
          </w:p>
        </w:tc>
        <w:tc>
          <w:tcPr>
            <w:tcW w:w="580" w:type="dxa"/>
            <w:tcBorders>
              <w:top w:val="nil"/>
              <w:left w:val="nil"/>
              <w:bottom w:val="nil"/>
              <w:right w:val="nil"/>
            </w:tcBorders>
            <w:shd w:val="clear" w:color="auto" w:fill="auto"/>
            <w:noWrap/>
            <w:vAlign w:val="bottom"/>
          </w:tcPr>
          <w:p>
            <w:pPr>
              <w:widowControl/>
              <w:jc w:val="left"/>
              <w:rPr>
                <w:rFonts w:cs="宋体"/>
                <w:kern w:val="0"/>
                <w:sz w:val="22"/>
              </w:rPr>
            </w:pPr>
          </w:p>
        </w:tc>
        <w:tc>
          <w:tcPr>
            <w:tcW w:w="480" w:type="dxa"/>
            <w:tcBorders>
              <w:top w:val="nil"/>
              <w:left w:val="nil"/>
              <w:bottom w:val="nil"/>
              <w:right w:val="nil"/>
            </w:tcBorders>
            <w:shd w:val="clear" w:color="auto" w:fill="auto"/>
            <w:noWrap/>
            <w:vAlign w:val="bottom"/>
          </w:tcPr>
          <w:p>
            <w:pPr>
              <w:widowControl/>
              <w:jc w:val="left"/>
              <w:rPr>
                <w:rFonts w:cs="宋体"/>
                <w:kern w:val="0"/>
                <w:sz w:val="22"/>
              </w:rPr>
            </w:pPr>
          </w:p>
        </w:tc>
        <w:tc>
          <w:tcPr>
            <w:tcW w:w="540" w:type="dxa"/>
            <w:tcBorders>
              <w:top w:val="nil"/>
              <w:left w:val="nil"/>
              <w:bottom w:val="nil"/>
              <w:right w:val="nil"/>
            </w:tcBorders>
            <w:shd w:val="clear" w:color="auto" w:fill="auto"/>
            <w:noWrap/>
            <w:vAlign w:val="bottom"/>
          </w:tcPr>
          <w:p>
            <w:pPr>
              <w:widowControl/>
              <w:jc w:val="left"/>
              <w:rPr>
                <w:rFonts w:cs="宋体"/>
                <w:kern w:val="0"/>
                <w:sz w:val="22"/>
              </w:rPr>
            </w:pPr>
          </w:p>
        </w:tc>
        <w:tc>
          <w:tcPr>
            <w:tcW w:w="1050" w:type="dxa"/>
            <w:gridSpan w:val="3"/>
            <w:tcBorders>
              <w:top w:val="nil"/>
              <w:left w:val="nil"/>
              <w:bottom w:val="nil"/>
              <w:right w:val="nil"/>
            </w:tcBorders>
            <w:shd w:val="clear" w:color="auto" w:fill="auto"/>
            <w:noWrap/>
            <w:vAlign w:val="bottom"/>
          </w:tcPr>
          <w:p>
            <w:pPr>
              <w:widowControl/>
              <w:jc w:val="left"/>
              <w:rPr>
                <w:rFonts w:cs="宋体"/>
                <w:kern w:val="0"/>
                <w:sz w:val="22"/>
              </w:rPr>
            </w:pPr>
          </w:p>
        </w:tc>
        <w:tc>
          <w:tcPr>
            <w:tcW w:w="1455" w:type="dxa"/>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Times New Roman" w:eastAsia="黑体" w:cs="宋体" w:hAnsi="Times New Roman" w:hint="eastAsia"/>
                <w:color w:val="000000"/>
                <w:kern w:val="0"/>
                <w:sz w:val="20"/>
                <w:szCs w:val="20"/>
              </w:rPr>
              <w:t>部门公开</w:t>
            </w:r>
            <w:r>
              <w:rPr>
                <w:rFonts w:ascii="宋体" w:cs="宋体" w:hint="eastAsia"/>
                <w:color w:val="000000"/>
                <w:kern w:val="0"/>
                <w:sz w:val="20"/>
                <w:szCs w:val="20"/>
              </w:rPr>
              <w:t>表2</w:t>
            </w:r>
          </w:p>
        </w:tc>
      </w:tr>
      <w:tr>
        <w:trPr>
          <w:trHeight w:val="705"/>
        </w:trPr>
        <w:tc>
          <w:tcPr>
            <w:tcW w:w="760" w:type="dxa"/>
            <w:tcBorders>
              <w:top w:val="nil"/>
              <w:left w:val="nil"/>
              <w:bottom w:val="nil"/>
              <w:right w:val="nil"/>
            </w:tcBorders>
            <w:shd w:val="clear" w:color="auto" w:fill="auto"/>
            <w:noWrap/>
            <w:vAlign w:val="center"/>
          </w:tcPr>
          <w:p>
            <w:pPr>
              <w:widowControl/>
              <w:jc w:val="center"/>
              <w:rPr>
                <w:rFonts w:ascii="宋体" w:cs="宋体"/>
                <w:b/>
                <w:bCs/>
                <w:color w:val="000000"/>
                <w:kern w:val="0"/>
                <w:sz w:val="48"/>
                <w:szCs w:val="48"/>
              </w:rPr>
            </w:pPr>
          </w:p>
        </w:tc>
        <w:tc>
          <w:tcPr>
            <w:tcW w:w="11698" w:type="dxa"/>
            <w:gridSpan w:val="19"/>
            <w:tcBorders>
              <w:top w:val="nil"/>
              <w:left w:val="nil"/>
              <w:bottom w:val="nil"/>
              <w:right w:val="nil"/>
            </w:tcBorders>
            <w:shd w:val="clear" w:color="auto" w:fill="auto"/>
            <w:noWrap/>
            <w:vAlign w:val="center"/>
          </w:tcPr>
          <w:p>
            <w:pPr>
              <w:widowControl/>
              <w:jc w:val="center"/>
              <w:rPr>
                <w:rFonts w:ascii="Arial" w:hAnsi="Arial"/>
                <w:b/>
                <w:bCs/>
                <w:kern w:val="0"/>
                <w:sz w:val="48"/>
                <w:szCs w:val="48"/>
              </w:rPr>
            </w:pPr>
            <w:r>
              <w:rPr>
                <w:rFonts w:ascii="Arial" w:hAnsi="Arial"/>
                <w:b/>
                <w:bCs/>
                <w:kern w:val="0"/>
                <w:sz w:val="48"/>
                <w:szCs w:val="48"/>
              </w:rPr>
              <w:t>部门收入总表</w:t>
            </w:r>
          </w:p>
        </w:tc>
        <w:tc>
          <w:tcPr>
            <w:tcW w:w="1455" w:type="dxa"/>
            <w:tcBorders>
              <w:top w:val="nil"/>
              <w:left w:val="nil"/>
              <w:bottom w:val="nil"/>
              <w:right w:val="nil"/>
            </w:tcBorders>
            <w:shd w:val="clear" w:color="auto" w:fill="auto"/>
            <w:noWrap/>
            <w:vAlign w:val="bottom"/>
          </w:tcPr>
          <w:p>
            <w:pPr>
              <w:widowControl/>
              <w:jc w:val="left"/>
              <w:rPr>
                <w:rFonts w:cs="宋体"/>
                <w:kern w:val="0"/>
                <w:sz w:val="22"/>
              </w:rPr>
            </w:pPr>
          </w:p>
        </w:tc>
      </w:tr>
      <w:tr>
        <w:trPr>
          <w:trHeight w:val="285"/>
        </w:trPr>
        <w:tc>
          <w:tcPr>
            <w:tcW w:w="11408" w:type="dxa"/>
            <w:gridSpan w:val="17"/>
            <w:tcBorders>
              <w:top w:val="nil"/>
              <w:left w:val="nil"/>
              <w:bottom w:val="nil"/>
              <w:right w:val="nil"/>
            </w:tcBorders>
            <w:shd w:val="clear" w:color="auto" w:fill="auto"/>
            <w:vAlign w:val="center"/>
          </w:tcPr>
          <w:p>
            <w:pPr>
              <w:widowControl/>
              <w:jc w:val="left"/>
              <w:rPr>
                <w:rFonts w:ascii="宋体" w:cs="宋体"/>
                <w:color w:val="000000"/>
                <w:kern w:val="0"/>
                <w:sz w:val="16"/>
                <w:szCs w:val="16"/>
              </w:rPr>
            </w:pPr>
          </w:p>
        </w:tc>
        <w:tc>
          <w:tcPr>
            <w:tcW w:w="2505" w:type="dxa"/>
            <w:gridSpan w:val="4"/>
            <w:tcBorders>
              <w:top w:val="nil"/>
              <w:left w:val="nil"/>
              <w:bottom w:val="nil"/>
              <w:right w:val="nil"/>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单位：万元</w:t>
            </w:r>
          </w:p>
        </w:tc>
      </w:tr>
      <w:tr>
        <w:trPr>
          <w:trHeight w:val="360"/>
        </w:trPr>
        <w:tc>
          <w:tcPr>
            <w:tcW w:w="7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单位名称</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合计</w:t>
            </w:r>
          </w:p>
        </w:tc>
        <w:tc>
          <w:tcPr>
            <w:tcW w:w="3956" w:type="dxa"/>
            <w:gridSpan w:val="6"/>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上年结转</w:t>
            </w:r>
          </w:p>
        </w:tc>
        <w:tc>
          <w:tcPr>
            <w:tcW w:w="6758" w:type="dxa"/>
            <w:gridSpan w:val="11"/>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本年收入</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使用非财政拨款结余</w:t>
            </w:r>
          </w:p>
        </w:tc>
      </w:tr>
      <w:tr>
        <w:trPr>
          <w:trHeight w:val="495"/>
        </w:trPr>
        <w:tc>
          <w:tcPr>
            <w:tcW w:w="760" w:type="dxa"/>
            <w:vMerge/>
            <w:tcBorders>
              <w:top w:val="single" w:sz="4" w:space="0" w:color="000000"/>
              <w:left w:val="single" w:sz="4" w:space="0" w:color="000000"/>
              <w:bottom w:val="single" w:sz="4" w:space="0" w:color="000000"/>
              <w:right w:val="single" w:sz="4" w:space="0" w:color="000000"/>
            </w:tcBorders>
            <w:vAlign w:val="center"/>
          </w:tcPr>
          <w:p/>
        </w:tc>
        <w:tc>
          <w:tcPr>
            <w:tcW w:w="880" w:type="dxa"/>
            <w:vMerge/>
            <w:tcBorders>
              <w:top w:val="single" w:sz="4" w:space="0" w:color="000000"/>
              <w:left w:val="single" w:sz="4" w:space="0" w:color="000000"/>
              <w:bottom w:val="single" w:sz="4" w:space="0" w:color="000000"/>
              <w:right w:val="single" w:sz="4" w:space="0" w:color="000000"/>
            </w:tcBorders>
            <w:vAlign w:val="center"/>
          </w:tcPr>
          <w:p/>
        </w:tc>
        <w:tc>
          <w:tcPr>
            <w:tcW w:w="76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小计</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一般公共预算结转资金</w:t>
            </w:r>
          </w:p>
        </w:tc>
        <w:tc>
          <w:tcPr>
            <w:tcW w:w="64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政府性基金预算结转资金</w:t>
            </w:r>
          </w:p>
        </w:tc>
        <w:tc>
          <w:tcPr>
            <w:tcW w:w="70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国有资本经营预算结转资金</w:t>
            </w:r>
          </w:p>
        </w:tc>
        <w:tc>
          <w:tcPr>
            <w:tcW w:w="46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财政专户管理资金</w:t>
            </w:r>
          </w:p>
        </w:tc>
        <w:tc>
          <w:tcPr>
            <w:tcW w:w="696"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其他资金</w:t>
            </w:r>
          </w:p>
        </w:tc>
        <w:tc>
          <w:tcPr>
            <w:tcW w:w="856"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小计</w:t>
            </w:r>
          </w:p>
        </w:tc>
        <w:tc>
          <w:tcPr>
            <w:tcW w:w="856"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一般公共预算拨款</w:t>
            </w:r>
          </w:p>
        </w:tc>
        <w:tc>
          <w:tcPr>
            <w:tcW w:w="52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政府性基金预算拨款</w:t>
            </w:r>
          </w:p>
        </w:tc>
        <w:tc>
          <w:tcPr>
            <w:tcW w:w="64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国有资本经营预算拨款</w:t>
            </w:r>
          </w:p>
        </w:tc>
        <w:tc>
          <w:tcPr>
            <w:tcW w:w="134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事业收入</w:t>
            </w:r>
          </w:p>
        </w:tc>
        <w:tc>
          <w:tcPr>
            <w:tcW w:w="58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事业单位经营收入</w:t>
            </w:r>
          </w:p>
        </w:tc>
        <w:tc>
          <w:tcPr>
            <w:tcW w:w="48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上级补助</w:t>
              <w:br/>
              <w:t>收入</w:t>
            </w:r>
          </w:p>
        </w:tc>
        <w:tc>
          <w:tcPr>
            <w:tcW w:w="635" w:type="dxa"/>
            <w:gridSpan w:val="2"/>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附属单位</w:t>
              <w:br/>
              <w:t>上缴收入</w:t>
            </w:r>
          </w:p>
        </w:tc>
        <w:tc>
          <w:tcPr>
            <w:tcW w:w="851"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其他收入</w:t>
            </w:r>
          </w:p>
        </w:tc>
        <w:tc>
          <w:tcPr>
            <w:tcW w:w="1559" w:type="dxa"/>
            <w:gridSpan w:val="2"/>
            <w:vMerge/>
            <w:tcBorders>
              <w:top w:val="single" w:sz="4" w:space="0" w:color="000000"/>
              <w:left w:val="single" w:sz="4" w:space="0" w:color="000000"/>
              <w:bottom w:val="single" w:sz="4" w:space="0" w:color="000000"/>
              <w:right w:val="single" w:sz="4" w:space="0" w:color="000000"/>
            </w:tcBorders>
            <w:vAlign w:val="center"/>
          </w:tcPr>
          <w:p/>
        </w:tc>
      </w:tr>
      <w:tr>
        <w:trPr>
          <w:trHeight w:val="825"/>
        </w:trPr>
        <w:tc>
          <w:tcPr>
            <w:tcW w:w="760" w:type="dxa"/>
            <w:vMerge/>
            <w:tcBorders>
              <w:top w:val="single" w:sz="4" w:space="0" w:color="000000"/>
              <w:left w:val="single" w:sz="4" w:space="0" w:color="000000"/>
              <w:bottom w:val="single" w:sz="4" w:space="0" w:color="000000"/>
              <w:right w:val="single" w:sz="4" w:space="0" w:color="000000"/>
            </w:tcBorders>
            <w:vAlign w:val="center"/>
          </w:tcPr>
          <w:p/>
        </w:tc>
        <w:tc>
          <w:tcPr>
            <w:tcW w:w="880" w:type="dxa"/>
            <w:vMerge/>
            <w:tcBorders>
              <w:top w:val="single" w:sz="4" w:space="0" w:color="000000"/>
              <w:left w:val="single" w:sz="4" w:space="0" w:color="000000"/>
              <w:bottom w:val="single" w:sz="4" w:space="0" w:color="000000"/>
              <w:right w:val="single" w:sz="4" w:space="0" w:color="000000"/>
            </w:tcBorders>
            <w:vAlign w:val="center"/>
          </w:tcPr>
          <w:p/>
        </w:tc>
        <w:tc>
          <w:tcPr>
            <w:tcW w:w="760" w:type="dxa"/>
            <w:vMerge/>
            <w:tcBorders>
              <w:top w:val="nil"/>
              <w:left w:val="single" w:sz="4" w:space="0" w:color="000000"/>
              <w:bottom w:val="single" w:sz="4" w:space="0" w:color="000000"/>
              <w:right w:val="single" w:sz="4" w:space="0" w:color="000000"/>
            </w:tcBorders>
            <w:vAlign w:val="center"/>
          </w:tcPr>
          <w:p/>
        </w:tc>
        <w:tc>
          <w:tcPr>
            <w:tcW w:w="700" w:type="dxa"/>
            <w:vMerge/>
            <w:tcBorders>
              <w:top w:val="nil"/>
              <w:left w:val="single" w:sz="4" w:space="0" w:color="000000"/>
              <w:bottom w:val="single" w:sz="4" w:space="0" w:color="000000"/>
              <w:right w:val="single" w:sz="4" w:space="0" w:color="000000"/>
            </w:tcBorders>
            <w:vAlign w:val="center"/>
          </w:tcPr>
          <w:p/>
        </w:tc>
        <w:tc>
          <w:tcPr>
            <w:tcW w:w="640" w:type="dxa"/>
            <w:vMerge/>
            <w:tcBorders>
              <w:top w:val="nil"/>
              <w:left w:val="single" w:sz="4" w:space="0" w:color="000000"/>
              <w:bottom w:val="single" w:sz="4" w:space="0" w:color="000000"/>
              <w:right w:val="single" w:sz="4" w:space="0" w:color="000000"/>
            </w:tcBorders>
            <w:vAlign w:val="center"/>
          </w:tcPr>
          <w:p/>
        </w:tc>
        <w:tc>
          <w:tcPr>
            <w:tcW w:w="700" w:type="dxa"/>
            <w:vMerge/>
            <w:tcBorders>
              <w:top w:val="nil"/>
              <w:left w:val="single" w:sz="4" w:space="0" w:color="000000"/>
              <w:bottom w:val="single" w:sz="4" w:space="0" w:color="000000"/>
              <w:right w:val="single" w:sz="4" w:space="0" w:color="000000"/>
            </w:tcBorders>
            <w:vAlign w:val="center"/>
          </w:tcPr>
          <w:p/>
        </w:tc>
        <w:tc>
          <w:tcPr>
            <w:tcW w:w="460" w:type="dxa"/>
            <w:vMerge/>
            <w:tcBorders>
              <w:top w:val="nil"/>
              <w:left w:val="single" w:sz="4" w:space="0" w:color="000000"/>
              <w:bottom w:val="single" w:sz="4" w:space="0" w:color="000000"/>
              <w:right w:val="single" w:sz="4" w:space="0" w:color="000000"/>
            </w:tcBorders>
            <w:vAlign w:val="center"/>
          </w:tcPr>
          <w:p/>
        </w:tc>
        <w:tc>
          <w:tcPr>
            <w:tcW w:w="696" w:type="dxa"/>
            <w:vMerge/>
            <w:tcBorders>
              <w:top w:val="nil"/>
              <w:left w:val="single" w:sz="4" w:space="0" w:color="000000"/>
              <w:bottom w:val="single" w:sz="4" w:space="0" w:color="000000"/>
              <w:right w:val="single" w:sz="4" w:space="0" w:color="000000"/>
            </w:tcBorders>
            <w:vAlign w:val="center"/>
          </w:tcPr>
          <w:p/>
        </w:tc>
        <w:tc>
          <w:tcPr>
            <w:tcW w:w="856" w:type="dxa"/>
            <w:vMerge/>
            <w:tcBorders>
              <w:top w:val="nil"/>
              <w:left w:val="single" w:sz="4" w:space="0" w:color="000000"/>
              <w:bottom w:val="single" w:sz="4" w:space="0" w:color="000000"/>
              <w:right w:val="single" w:sz="4" w:space="0" w:color="000000"/>
            </w:tcBorders>
            <w:vAlign w:val="center"/>
          </w:tcPr>
          <w:p/>
        </w:tc>
        <w:tc>
          <w:tcPr>
            <w:tcW w:w="856" w:type="dxa"/>
            <w:vMerge/>
            <w:tcBorders>
              <w:top w:val="nil"/>
              <w:left w:val="single" w:sz="4" w:space="0" w:color="000000"/>
              <w:bottom w:val="single" w:sz="4" w:space="0" w:color="000000"/>
              <w:right w:val="single" w:sz="4" w:space="0" w:color="000000"/>
            </w:tcBorders>
            <w:vAlign w:val="center"/>
          </w:tcPr>
          <w:p/>
        </w:tc>
        <w:tc>
          <w:tcPr>
            <w:tcW w:w="520" w:type="dxa"/>
            <w:vMerge/>
            <w:tcBorders>
              <w:top w:val="nil"/>
              <w:left w:val="single" w:sz="4" w:space="0" w:color="000000"/>
              <w:bottom w:val="single" w:sz="4" w:space="0" w:color="000000"/>
              <w:right w:val="single" w:sz="4" w:space="0" w:color="000000"/>
            </w:tcBorders>
            <w:vAlign w:val="center"/>
          </w:tcPr>
          <w:p/>
        </w:tc>
        <w:tc>
          <w:tcPr>
            <w:tcW w:w="640" w:type="dxa"/>
            <w:vMerge/>
            <w:tcBorders>
              <w:top w:val="nil"/>
              <w:left w:val="single" w:sz="4" w:space="0" w:color="000000"/>
              <w:bottom w:val="single" w:sz="4" w:space="0" w:color="000000"/>
              <w:right w:val="single" w:sz="4" w:space="0" w:color="000000"/>
            </w:tcBorders>
            <w:vAlign w:val="center"/>
          </w:tcPr>
          <w:p/>
        </w:tc>
        <w:tc>
          <w:tcPr>
            <w:tcW w:w="52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金额</w:t>
            </w:r>
          </w:p>
        </w:tc>
        <w:tc>
          <w:tcPr>
            <w:tcW w:w="82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其中：财政专户管理资金</w:t>
            </w:r>
          </w:p>
        </w:tc>
        <w:tc>
          <w:tcPr>
            <w:tcW w:w="580" w:type="dxa"/>
            <w:vMerge/>
            <w:tcBorders>
              <w:top w:val="nil"/>
              <w:left w:val="single" w:sz="4" w:space="0" w:color="000000"/>
              <w:bottom w:val="single" w:sz="4" w:space="0" w:color="000000"/>
              <w:right w:val="single" w:sz="4" w:space="0" w:color="000000"/>
            </w:tcBorders>
            <w:vAlign w:val="center"/>
          </w:tcPr>
          <w:p/>
        </w:tc>
        <w:tc>
          <w:tcPr>
            <w:tcW w:w="480" w:type="dxa"/>
            <w:vMerge/>
            <w:tcBorders>
              <w:top w:val="nil"/>
              <w:left w:val="single" w:sz="4" w:space="0" w:color="000000"/>
              <w:bottom w:val="single" w:sz="4" w:space="0" w:color="000000"/>
              <w:right w:val="single" w:sz="4" w:space="0" w:color="000000"/>
            </w:tcBorders>
            <w:vAlign w:val="center"/>
          </w:tcPr>
          <w:p/>
        </w:tc>
        <w:tc>
          <w:tcPr>
            <w:tcW w:w="635" w:type="dxa"/>
            <w:gridSpan w:val="2"/>
            <w:vMerge/>
            <w:tcBorders>
              <w:top w:val="nil"/>
              <w:left w:val="single" w:sz="4" w:space="0" w:color="000000"/>
              <w:bottom w:val="single" w:sz="4" w:space="0" w:color="000000"/>
              <w:right w:val="single" w:sz="4" w:space="0" w:color="000000"/>
            </w:tcBorders>
            <w:vAlign w:val="center"/>
          </w:tcPr>
          <w:p/>
        </w:tc>
        <w:tc>
          <w:tcPr>
            <w:tcW w:w="851" w:type="dxa"/>
            <w:vMerge/>
            <w:tcBorders>
              <w:top w:val="nil"/>
              <w:left w:val="single" w:sz="4" w:space="0" w:color="000000"/>
              <w:bottom w:val="single" w:sz="4" w:space="0" w:color="000000"/>
              <w:right w:val="single" w:sz="4" w:space="0" w:color="000000"/>
            </w:tcBorders>
            <w:vAlign w:val="center"/>
          </w:tcPr>
          <w:p/>
        </w:tc>
        <w:tc>
          <w:tcPr>
            <w:tcW w:w="1559" w:type="dxa"/>
            <w:gridSpan w:val="2"/>
            <w:vMerge/>
            <w:tcBorders>
              <w:top w:val="single" w:sz="4" w:space="0" w:color="000000"/>
              <w:left w:val="single" w:sz="4" w:space="0" w:color="000000"/>
              <w:bottom w:val="single" w:sz="4" w:space="0" w:color="000000"/>
              <w:right w:val="single" w:sz="4" w:space="0" w:color="000000"/>
            </w:tcBorders>
            <w:vAlign w:val="center"/>
          </w:tcPr>
          <w:p/>
        </w:tc>
      </w:tr>
      <w:tr>
        <w:trPr>
          <w:trHeight w:val="675"/>
        </w:trPr>
        <w:tc>
          <w:tcPr>
            <w:tcW w:w="76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中华人民共和国马尾海关</w:t>
            </w:r>
          </w:p>
        </w:tc>
        <w:tc>
          <w:tcPr>
            <w:tcW w:w="88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5,948.04</w:t>
            </w:r>
          </w:p>
        </w:tc>
        <w:tc>
          <w:tcPr>
            <w:tcW w:w="7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811.10</w:t>
            </w:r>
          </w:p>
        </w:tc>
        <w:tc>
          <w:tcPr>
            <w:tcW w:w="70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0.72</w:t>
            </w:r>
          </w:p>
        </w:tc>
        <w:tc>
          <w:tcPr>
            <w:tcW w:w="64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70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4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696"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810.38</w:t>
            </w:r>
          </w:p>
        </w:tc>
        <w:tc>
          <w:tcPr>
            <w:tcW w:w="856"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5,136.94</w:t>
            </w:r>
          </w:p>
        </w:tc>
        <w:tc>
          <w:tcPr>
            <w:tcW w:w="856"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3,736.94</w:t>
            </w:r>
          </w:p>
        </w:tc>
        <w:tc>
          <w:tcPr>
            <w:tcW w:w="52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64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52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82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58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48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63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1,400.00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r>
      <w:tr>
        <w:trPr>
          <w:trHeight w:val="675"/>
        </w:trPr>
        <w:tc>
          <w:tcPr>
            <w:tcW w:w="760"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宋体"/>
                <w:kern w:val="0"/>
                <w:sz w:val="16"/>
                <w:szCs w:val="16"/>
              </w:rPr>
            </w:pPr>
            <w:r>
              <w:rPr>
                <w:rFonts w:ascii="宋体" w:cs="宋体" w:hint="eastAsia"/>
                <w:kern w:val="0"/>
                <w:sz w:val="16"/>
                <w:szCs w:val="16"/>
              </w:rPr>
              <w:t>合计</w:t>
            </w:r>
          </w:p>
        </w:tc>
        <w:tc>
          <w:tcPr>
            <w:tcW w:w="88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5,948.04</w:t>
            </w:r>
          </w:p>
        </w:tc>
        <w:tc>
          <w:tcPr>
            <w:tcW w:w="7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811.10</w:t>
            </w:r>
          </w:p>
        </w:tc>
        <w:tc>
          <w:tcPr>
            <w:tcW w:w="70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0.72</w:t>
            </w:r>
          </w:p>
        </w:tc>
        <w:tc>
          <w:tcPr>
            <w:tcW w:w="64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　</w:t>
            </w:r>
          </w:p>
        </w:tc>
        <w:tc>
          <w:tcPr>
            <w:tcW w:w="70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　</w:t>
            </w:r>
          </w:p>
        </w:tc>
        <w:tc>
          <w:tcPr>
            <w:tcW w:w="4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　</w:t>
            </w:r>
          </w:p>
        </w:tc>
        <w:tc>
          <w:tcPr>
            <w:tcW w:w="696"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810.38</w:t>
            </w:r>
          </w:p>
        </w:tc>
        <w:tc>
          <w:tcPr>
            <w:tcW w:w="856"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5,136.94</w:t>
            </w:r>
          </w:p>
        </w:tc>
        <w:tc>
          <w:tcPr>
            <w:tcW w:w="856"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3,736.94</w:t>
            </w:r>
          </w:p>
        </w:tc>
        <w:tc>
          <w:tcPr>
            <w:tcW w:w="52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　</w:t>
            </w:r>
          </w:p>
        </w:tc>
        <w:tc>
          <w:tcPr>
            <w:tcW w:w="64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　</w:t>
            </w:r>
          </w:p>
        </w:tc>
        <w:tc>
          <w:tcPr>
            <w:tcW w:w="52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　</w:t>
            </w:r>
          </w:p>
        </w:tc>
        <w:tc>
          <w:tcPr>
            <w:tcW w:w="82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　</w:t>
            </w:r>
          </w:p>
        </w:tc>
        <w:tc>
          <w:tcPr>
            <w:tcW w:w="58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　</w:t>
            </w:r>
          </w:p>
        </w:tc>
        <w:tc>
          <w:tcPr>
            <w:tcW w:w="48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　</w:t>
            </w:r>
          </w:p>
        </w:tc>
        <w:tc>
          <w:tcPr>
            <w:tcW w:w="63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　</w:t>
            </w: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1,400.00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16"/>
                <w:szCs w:val="16"/>
              </w:rPr>
            </w:pPr>
            <w:r>
              <w:rPr>
                <w:rFonts w:ascii="宋体" w:cs="宋体" w:hint="eastAsia"/>
                <w:kern w:val="0"/>
                <w:sz w:val="16"/>
                <w:szCs w:val="16"/>
              </w:rPr>
              <w:t>　</w:t>
            </w:r>
          </w:p>
        </w:tc>
      </w:tr>
    </w:tbl>
    <w:p>
      <w:pPr>
        <w:jc w:val="left"/>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Ind w:w="87" w:type="dxa"/>
        <w:tblW w:w="1391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40"/>
        <w:gridCol w:w="2860"/>
        <w:gridCol w:w="1280"/>
        <w:gridCol w:w="270"/>
        <w:gridCol w:w="950"/>
        <w:gridCol w:w="325"/>
        <w:gridCol w:w="915"/>
        <w:gridCol w:w="645"/>
        <w:gridCol w:w="475"/>
        <w:gridCol w:w="1226"/>
        <w:gridCol w:w="374"/>
        <w:gridCol w:w="1468"/>
        <w:gridCol w:w="1985"/>
      </w:tblGrid>
      <w:tr>
        <w:trPr>
          <w:trHeight w:val="315"/>
        </w:trPr>
        <w:tc>
          <w:tcPr>
            <w:tcW w:w="1140" w:type="dxa"/>
            <w:tcBorders>
              <w:top w:val="nil"/>
              <w:left w:val="nil"/>
              <w:bottom w:val="nil"/>
              <w:right w:val="nil"/>
            </w:tcBorders>
            <w:shd w:val="clear" w:color="auto" w:fill="auto"/>
            <w:noWrap/>
            <w:vAlign w:val="bottom"/>
          </w:tcPr>
          <w:p>
            <w:pPr>
              <w:widowControl/>
              <w:jc w:val="left"/>
              <w:rPr>
                <w:rFonts w:cs="宋体"/>
                <w:kern w:val="0"/>
                <w:sz w:val="22"/>
              </w:rPr>
            </w:pPr>
          </w:p>
        </w:tc>
        <w:tc>
          <w:tcPr>
            <w:tcW w:w="2860" w:type="dxa"/>
            <w:tcBorders>
              <w:top w:val="nil"/>
              <w:left w:val="nil"/>
              <w:bottom w:val="nil"/>
              <w:right w:val="nil"/>
            </w:tcBorders>
            <w:shd w:val="clear" w:color="auto" w:fill="auto"/>
            <w:noWrap/>
            <w:vAlign w:val="bottom"/>
          </w:tcPr>
          <w:p>
            <w:pPr>
              <w:widowControl/>
              <w:jc w:val="left"/>
              <w:rPr>
                <w:rFonts w:cs="宋体"/>
                <w:kern w:val="0"/>
                <w:sz w:val="22"/>
              </w:rPr>
            </w:pPr>
          </w:p>
        </w:tc>
        <w:tc>
          <w:tcPr>
            <w:tcW w:w="1280" w:type="dxa"/>
            <w:tcBorders>
              <w:top w:val="nil"/>
              <w:left w:val="nil"/>
              <w:bottom w:val="nil"/>
              <w:right w:val="nil"/>
            </w:tcBorders>
            <w:shd w:val="clear" w:color="auto" w:fill="auto"/>
            <w:noWrap/>
            <w:vAlign w:val="bottom"/>
          </w:tcPr>
          <w:p>
            <w:pPr>
              <w:widowControl/>
              <w:jc w:val="left"/>
              <w:rPr>
                <w:rFonts w:cs="宋体"/>
                <w:kern w:val="0"/>
                <w:sz w:val="22"/>
              </w:rPr>
            </w:pPr>
          </w:p>
        </w:tc>
        <w:tc>
          <w:tcPr>
            <w:tcW w:w="122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124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112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160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3453" w:type="dxa"/>
            <w:gridSpan w:val="2"/>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Times New Roman" w:eastAsia="黑体" w:cs="宋体" w:hAnsi="Times New Roman" w:hint="eastAsia"/>
                <w:color w:val="000000"/>
                <w:kern w:val="0"/>
                <w:sz w:val="20"/>
                <w:szCs w:val="20"/>
              </w:rPr>
              <w:t>部门公开</w:t>
            </w:r>
            <w:r>
              <w:rPr>
                <w:rFonts w:ascii="宋体" w:cs="宋体" w:hint="eastAsia"/>
                <w:color w:val="000000"/>
                <w:kern w:val="0"/>
                <w:sz w:val="20"/>
                <w:szCs w:val="20"/>
              </w:rPr>
              <w:t>表3</w:t>
            </w:r>
          </w:p>
        </w:tc>
      </w:tr>
      <w:tr>
        <w:trPr>
          <w:trHeight w:val="615"/>
        </w:trPr>
        <w:tc>
          <w:tcPr>
            <w:tcW w:w="13913" w:type="dxa"/>
            <w:gridSpan w:val="13"/>
            <w:tcBorders>
              <w:top w:val="nil"/>
              <w:left w:val="nil"/>
              <w:bottom w:val="nil"/>
              <w:right w:val="nil"/>
            </w:tcBorders>
            <w:shd w:val="clear" w:color="auto" w:fill="auto"/>
            <w:noWrap/>
            <w:vAlign w:val="center"/>
          </w:tcPr>
          <w:p>
            <w:pPr>
              <w:widowControl/>
              <w:jc w:val="center"/>
              <w:rPr>
                <w:rFonts w:ascii="宋体" w:cs="宋体"/>
                <w:b/>
                <w:bCs/>
                <w:color w:val="000000"/>
                <w:kern w:val="0"/>
                <w:sz w:val="48"/>
                <w:szCs w:val="48"/>
              </w:rPr>
            </w:pPr>
            <w:r>
              <w:rPr>
                <w:rFonts w:ascii="宋体" w:cs="宋体" w:hint="eastAsia"/>
                <w:b/>
                <w:bCs/>
                <w:color w:val="000000"/>
                <w:kern w:val="0"/>
                <w:sz w:val="48"/>
                <w:szCs w:val="48"/>
              </w:rPr>
              <w:t>部门支出总表</w:t>
            </w:r>
          </w:p>
        </w:tc>
      </w:tr>
      <w:tr>
        <w:trPr>
          <w:trHeight w:val="315"/>
        </w:trPr>
        <w:tc>
          <w:tcPr>
            <w:tcW w:w="11928" w:type="dxa"/>
            <w:gridSpan w:val="12"/>
            <w:tcBorders>
              <w:top w:val="nil"/>
              <w:left w:val="nil"/>
              <w:bottom w:val="nil"/>
              <w:right w:val="nil"/>
            </w:tcBorders>
            <w:shd w:val="clear" w:color="auto" w:fill="auto"/>
            <w:vAlign w:val="center"/>
          </w:tcPr>
          <w:p>
            <w:pPr>
              <w:widowControl/>
              <w:jc w:val="left"/>
              <w:rPr>
                <w:rFonts w:ascii="宋体" w:cs="宋体"/>
                <w:color w:val="000000"/>
                <w:kern w:val="0"/>
                <w:sz w:val="16"/>
                <w:szCs w:val="16"/>
              </w:rPr>
            </w:pPr>
          </w:p>
        </w:tc>
        <w:tc>
          <w:tcPr>
            <w:tcW w:w="1985" w:type="dxa"/>
            <w:tcBorders>
              <w:top w:val="nil"/>
              <w:left w:val="nil"/>
              <w:bottom w:val="nil"/>
              <w:right w:val="nil"/>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单位：万元</w:t>
            </w:r>
          </w:p>
        </w:tc>
      </w:tr>
      <w:tr>
        <w:trPr>
          <w:trHeight w:val="375"/>
        </w:trPr>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科目代码</w:t>
            </w:r>
          </w:p>
        </w:tc>
        <w:tc>
          <w:tcPr>
            <w:tcW w:w="2860" w:type="dxa"/>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科目名称</w:t>
            </w:r>
          </w:p>
        </w:tc>
        <w:tc>
          <w:tcPr>
            <w:tcW w:w="155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合计</w:t>
            </w:r>
          </w:p>
        </w:tc>
        <w:tc>
          <w:tcPr>
            <w:tcW w:w="1275"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基本支出</w:t>
            </w:r>
          </w:p>
        </w:tc>
        <w:tc>
          <w:tcPr>
            <w:tcW w:w="156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项目支出</w:t>
            </w:r>
          </w:p>
        </w:tc>
        <w:tc>
          <w:tcPr>
            <w:tcW w:w="1701"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上缴上级支出</w:t>
            </w:r>
          </w:p>
        </w:tc>
        <w:tc>
          <w:tcPr>
            <w:tcW w:w="1842"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事业单位经营支出</w:t>
            </w:r>
          </w:p>
        </w:tc>
        <w:tc>
          <w:tcPr>
            <w:tcW w:w="1985" w:type="dxa"/>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对附属单位补助支出</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201</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一般公共服务支出</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4,108.40</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3,923.73</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184.67</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20109</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海关事务</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4,108.40</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3,923.73</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184.67</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2010901</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行政运行</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3,923.73</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3,923.73</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2010905</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缉私办案</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4.53</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4.53</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2010909</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海关关务</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150.64</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150.64</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2010911</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海关监管</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11.00</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11.00</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2010912</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检验检疫</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18.50</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18.50</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204</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公共安全支出</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425.97</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365.97</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60.00</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20410</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缉私警察</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425.97</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365.97</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60.00</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2041001</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行政运行</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365.97</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365.97</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2041007</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缉私业务</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60.00</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60.00</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208</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社会保障和就业支出</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680.43</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680.43</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20805</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行政事业单位养老支出</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680.43</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680.43</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2080501</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行政单位离退休</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3.87</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3.87</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2080505</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机关事业单位基本养老保险缴费支出</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440.75</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440.75</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2080506</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机关事业单位职业年金缴费支出</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235.81</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235.81</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210</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卫生健康支出</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248.08</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248.08</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21011</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行政事业单位医疗</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248.08</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248.08</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2101101</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行政单位医疗</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154.77</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154.77</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2101103</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公务员医疗补助</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90.20</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90.20</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2101199</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其他行政事业单位医疗支出</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3.11</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3.11</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221</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住房保障支出</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485.16</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485.16</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22102</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住房改革支出</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485.16</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485.16</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2210201</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住房公积金</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280.00</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280.00</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2210203</w:t>
            </w:r>
          </w:p>
        </w:tc>
        <w:tc>
          <w:tcPr>
            <w:tcW w:w="2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kern w:val="0"/>
                <w:sz w:val="16"/>
                <w:szCs w:val="16"/>
              </w:rPr>
            </w:pPr>
            <w:r>
              <w:rPr>
                <w:rFonts w:ascii="宋体" w:cs="宋体" w:hint="eastAsia"/>
                <w:kern w:val="0"/>
                <w:sz w:val="16"/>
                <w:szCs w:val="16"/>
              </w:rPr>
              <w:t xml:space="preserve">    购房补贴</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205.16</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205.16</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kern w:val="0"/>
                <w:sz w:val="16"/>
                <w:szCs w:val="16"/>
              </w:rPr>
            </w:pPr>
            <w:r>
              <w:rPr>
                <w:rFonts w:ascii="宋体" w:cs="宋体" w:hint="eastAsia"/>
                <w:kern w:val="0"/>
                <w:sz w:val="16"/>
                <w:szCs w:val="16"/>
              </w:rPr>
              <w:t>　</w:t>
            </w:r>
          </w:p>
        </w:tc>
      </w:tr>
      <w:tr>
        <w:trPr>
          <w:trHeight w:val="450"/>
        </w:trPr>
        <w:tc>
          <w:tcPr>
            <w:tcW w:w="1140" w:type="dxa"/>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b/>
                <w:bCs/>
                <w:kern w:val="0"/>
                <w:sz w:val="16"/>
                <w:szCs w:val="16"/>
              </w:rPr>
            </w:pPr>
            <w:r>
              <w:rPr>
                <w:rFonts w:ascii="宋体" w:cs="宋体" w:hint="eastAsia"/>
                <w:b/>
                <w:bCs/>
                <w:kern w:val="0"/>
                <w:sz w:val="16"/>
                <w:szCs w:val="16"/>
              </w:rPr>
              <w:t>　</w:t>
            </w:r>
          </w:p>
        </w:tc>
        <w:tc>
          <w:tcPr>
            <w:tcW w:w="286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b/>
                <w:bCs/>
                <w:kern w:val="0"/>
                <w:sz w:val="16"/>
                <w:szCs w:val="16"/>
              </w:rPr>
            </w:pPr>
            <w:r>
              <w:rPr>
                <w:rFonts w:ascii="宋体" w:cs="宋体" w:hint="eastAsia"/>
                <w:b/>
                <w:bCs/>
                <w:kern w:val="0"/>
                <w:sz w:val="16"/>
                <w:szCs w:val="16"/>
              </w:rPr>
              <w:t>合        计</w:t>
            </w:r>
          </w:p>
        </w:tc>
        <w:tc>
          <w:tcPr>
            <w:tcW w:w="155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b/>
                <w:bCs/>
                <w:kern w:val="0"/>
                <w:sz w:val="16"/>
                <w:szCs w:val="16"/>
              </w:rPr>
            </w:pPr>
            <w:r>
              <w:rPr>
                <w:rFonts w:ascii="宋体" w:cs="宋体" w:hint="eastAsia"/>
                <w:b/>
                <w:bCs/>
                <w:kern w:val="0"/>
                <w:sz w:val="16"/>
                <w:szCs w:val="16"/>
              </w:rPr>
              <w:t>5,948.04</w:t>
            </w:r>
          </w:p>
        </w:tc>
        <w:tc>
          <w:tcPr>
            <w:tcW w:w="1275"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b/>
                <w:bCs/>
                <w:kern w:val="0"/>
                <w:sz w:val="16"/>
                <w:szCs w:val="16"/>
              </w:rPr>
            </w:pPr>
            <w:r>
              <w:rPr>
                <w:rFonts w:ascii="宋体" w:cs="宋体" w:hint="eastAsia"/>
                <w:b/>
                <w:bCs/>
                <w:kern w:val="0"/>
                <w:sz w:val="16"/>
                <w:szCs w:val="16"/>
              </w:rPr>
              <w:t>5,703.37</w:t>
            </w:r>
          </w:p>
        </w:tc>
        <w:tc>
          <w:tcPr>
            <w:tcW w:w="1560"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b/>
                <w:bCs/>
                <w:kern w:val="0"/>
                <w:sz w:val="16"/>
                <w:szCs w:val="16"/>
              </w:rPr>
            </w:pPr>
            <w:r>
              <w:rPr>
                <w:rFonts w:ascii="宋体" w:cs="宋体" w:hint="eastAsia"/>
                <w:b/>
                <w:bCs/>
                <w:kern w:val="0"/>
                <w:sz w:val="16"/>
                <w:szCs w:val="16"/>
              </w:rPr>
              <w:t>244.67</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b/>
                <w:bCs/>
                <w:kern w:val="0"/>
                <w:sz w:val="16"/>
                <w:szCs w:val="16"/>
              </w:rPr>
            </w:pPr>
            <w:r>
              <w:rPr>
                <w:rFonts w:ascii="宋体" w:cs="宋体" w:hint="eastAsia"/>
                <w:b/>
                <w:bCs/>
                <w:kern w:val="0"/>
                <w:sz w:val="16"/>
                <w:szCs w:val="16"/>
              </w:rPr>
              <w:t>　</w:t>
            </w:r>
          </w:p>
        </w:tc>
        <w:tc>
          <w:tcPr>
            <w:tcW w:w="1842"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宋体" w:cs="宋体"/>
                <w:b/>
                <w:bCs/>
                <w:kern w:val="0"/>
                <w:sz w:val="16"/>
                <w:szCs w:val="16"/>
              </w:rPr>
            </w:pPr>
            <w:r>
              <w:rPr>
                <w:rFonts w:ascii="宋体" w:cs="宋体" w:hint="eastAsia"/>
                <w:b/>
                <w:bCs/>
                <w:kern w:val="0"/>
                <w:sz w:val="16"/>
                <w:szCs w:val="16"/>
              </w:rPr>
              <w:t>　</w:t>
            </w:r>
          </w:p>
        </w:tc>
        <w:tc>
          <w:tcPr>
            <w:tcW w:w="1985" w:type="dxa"/>
            <w:tcBorders>
              <w:top w:val="nil"/>
              <w:left w:val="nil"/>
              <w:bottom w:val="single" w:sz="4" w:space="0" w:color="000000"/>
              <w:right w:val="single" w:sz="4" w:space="0" w:color="000000"/>
            </w:tcBorders>
            <w:shd w:val="clear" w:color="auto" w:fill="auto"/>
            <w:vAlign w:val="center"/>
          </w:tcPr>
          <w:p>
            <w:pPr>
              <w:widowControl/>
              <w:jc w:val="right"/>
              <w:rPr>
                <w:rFonts w:ascii="宋体" w:cs="宋体"/>
                <w:b/>
                <w:bCs/>
                <w:kern w:val="0"/>
                <w:sz w:val="16"/>
                <w:szCs w:val="16"/>
              </w:rPr>
            </w:pPr>
            <w:r>
              <w:rPr>
                <w:rFonts w:ascii="宋体" w:cs="宋体" w:hint="eastAsia"/>
                <w:b/>
                <w:bCs/>
                <w:kern w:val="0"/>
                <w:sz w:val="16"/>
                <w:szCs w:val="16"/>
              </w:rPr>
              <w:t>　</w:t>
            </w:r>
          </w:p>
        </w:tc>
      </w:tr>
    </w:tbl>
    <w:p>
      <w:pPr>
        <w:widowControl/>
        <w:jc w:val="left"/>
      </w:pP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center"/>
        <w:tblW w:w="1417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7"/>
        <w:gridCol w:w="3141"/>
        <w:gridCol w:w="3545"/>
        <w:gridCol w:w="2637"/>
        <w:gridCol w:w="766"/>
        <w:gridCol w:w="1485"/>
        <w:gridCol w:w="1918"/>
        <w:gridCol w:w="599"/>
      </w:tblGrid>
      <w:tr>
        <w:trPr>
          <w:trHeight w:val="319"/>
        </w:trPr>
        <w:tc>
          <w:tcPr>
            <w:tcW w:w="11657" w:type="dxa"/>
            <w:gridSpan w:val="6"/>
            <w:tcBorders>
              <w:top w:val="nil"/>
              <w:left w:val="nil"/>
              <w:bottom w:val="nil"/>
              <w:right w:val="nil"/>
            </w:tcBorders>
            <w:shd w:val="clear" w:color="auto" w:fill="auto"/>
            <w:noWrap/>
            <w:vAlign w:val="center"/>
          </w:tcPr>
          <w:tbl>
            <w:tblPr>
              <w:jc w:val="left"/>
              <w:tblW w:w="1144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653"/>
              <w:gridCol w:w="1758"/>
              <w:gridCol w:w="2706"/>
              <w:gridCol w:w="4324"/>
            </w:tblGrid>
            <w:tr>
              <w:trPr>
                <w:trHeight w:val="330"/>
              </w:trPr>
              <w:tc>
                <w:tcPr>
                  <w:tcW w:w="2653" w:type="dxa"/>
                  <w:tcBorders>
                    <w:top w:val="nil"/>
                    <w:left w:val="nil"/>
                    <w:bottom w:val="nil"/>
                    <w:right w:val="nil"/>
                  </w:tcBorders>
                  <w:shd w:val="clear" w:color="auto" w:fill="auto"/>
                  <w:noWrap/>
                  <w:vAlign w:val="bottom"/>
                </w:tcPr>
                <w:p>
                  <w:pPr>
                    <w:widowControl/>
                    <w:jc w:val="left"/>
                    <w:rPr>
                      <w:rFonts w:cs="宋体"/>
                      <w:kern w:val="0"/>
                      <w:sz w:val="22"/>
                    </w:rPr>
                  </w:pPr>
                </w:p>
              </w:tc>
              <w:tc>
                <w:tcPr>
                  <w:tcW w:w="1758" w:type="dxa"/>
                  <w:tcBorders>
                    <w:top w:val="nil"/>
                    <w:left w:val="nil"/>
                    <w:bottom w:val="nil"/>
                    <w:right w:val="nil"/>
                  </w:tcBorders>
                  <w:shd w:val="clear" w:color="auto" w:fill="auto"/>
                  <w:noWrap/>
                  <w:vAlign w:val="bottom"/>
                </w:tcPr>
                <w:p>
                  <w:pPr>
                    <w:widowControl/>
                    <w:jc w:val="left"/>
                    <w:rPr>
                      <w:rFonts w:cs="宋体"/>
                      <w:kern w:val="0"/>
                      <w:sz w:val="22"/>
                    </w:rPr>
                  </w:pPr>
                </w:p>
              </w:tc>
              <w:tc>
                <w:tcPr>
                  <w:tcW w:w="2706" w:type="dxa"/>
                  <w:tcBorders>
                    <w:top w:val="nil"/>
                    <w:left w:val="nil"/>
                    <w:bottom w:val="nil"/>
                    <w:right w:val="nil"/>
                  </w:tcBorders>
                  <w:shd w:val="clear" w:color="auto" w:fill="auto"/>
                  <w:noWrap/>
                  <w:vAlign w:val="bottom"/>
                </w:tcPr>
                <w:p>
                  <w:pPr>
                    <w:widowControl/>
                    <w:jc w:val="left"/>
                    <w:rPr>
                      <w:rFonts w:cs="宋体"/>
                      <w:kern w:val="0"/>
                      <w:sz w:val="22"/>
                    </w:rPr>
                  </w:pPr>
                </w:p>
              </w:tc>
              <w:tc>
                <w:tcPr>
                  <w:tcW w:w="4324" w:type="dxa"/>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p>
              </w:tc>
            </w:tr>
          </w:tbl>
          <w:p>
            <w:pPr>
              <w:widowControl/>
              <w:jc w:val="left"/>
              <w:rPr>
                <w:rFonts w:ascii="Times New Roman" w:cs="宋体" w:hAnsi="Times New Roman"/>
                <w:kern w:val="0"/>
                <w:sz w:val="24"/>
                <w:szCs w:val="24"/>
              </w:rPr>
            </w:pPr>
          </w:p>
        </w:tc>
        <w:tc>
          <w:tcPr>
            <w:tcW w:w="2517" w:type="dxa"/>
            <w:gridSpan w:val="2"/>
            <w:tcBorders>
              <w:top w:val="nil"/>
              <w:left w:val="nil"/>
              <w:bottom w:val="nil"/>
              <w:right w:val="nil"/>
            </w:tcBorders>
            <w:shd w:val="clear" w:color="auto" w:fill="auto"/>
            <w:noWrap/>
            <w:vAlign w:val="center"/>
          </w:tcPr>
          <w:p>
            <w:pPr>
              <w:widowControl/>
              <w:ind w:right="400"/>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部门公开表4</w:t>
            </w:r>
          </w:p>
        </w:tc>
      </w:tr>
      <w:tr>
        <w:trPr>
          <w:trHeight w:val="660"/>
          <w:gridBefore w:val="1"/>
          <w:wBefore w:w="87" w:type="dxa"/>
          <w:gridAfter w:val="1"/>
          <w:wAfter w:w="599" w:type="dxa"/>
        </w:trPr>
        <w:tc>
          <w:tcPr>
            <w:tcW w:w="13488" w:type="dxa"/>
            <w:gridSpan w:val="6"/>
            <w:tcBorders>
              <w:top w:val="nil"/>
              <w:left w:val="nil"/>
              <w:bottom w:val="nil"/>
              <w:right w:val="nil"/>
            </w:tcBorders>
            <w:shd w:val="clear" w:color="auto" w:fill="auto"/>
            <w:noWrap/>
            <w:vAlign w:val="center"/>
          </w:tcPr>
          <w:p>
            <w:pPr>
              <w:widowControl/>
              <w:jc w:val="center"/>
              <w:rPr>
                <w:rFonts w:ascii="宋体" w:cs="宋体"/>
                <w:b/>
                <w:bCs/>
                <w:color w:val="000000"/>
                <w:kern w:val="0"/>
                <w:sz w:val="48"/>
                <w:szCs w:val="48"/>
              </w:rPr>
            </w:pPr>
            <w:r>
              <w:rPr>
                <w:rFonts w:ascii="宋体" w:cs="宋体" w:hint="eastAsia"/>
                <w:b/>
                <w:bCs/>
                <w:color w:val="000000"/>
                <w:kern w:val="0"/>
                <w:sz w:val="48"/>
                <w:szCs w:val="48"/>
              </w:rPr>
              <w:t>财政拨款收支总表</w:t>
            </w:r>
          </w:p>
        </w:tc>
      </w:tr>
      <w:tr>
        <w:trPr>
          <w:trHeight w:val="300"/>
          <w:gridBefore w:val="1"/>
          <w:wBefore w:w="87" w:type="dxa"/>
          <w:gridAfter w:val="1"/>
          <w:wAfter w:w="599" w:type="dxa"/>
        </w:trPr>
        <w:tc>
          <w:tcPr>
            <w:tcW w:w="9320" w:type="dxa"/>
            <w:gridSpan w:val="3"/>
            <w:tcBorders>
              <w:top w:val="nil"/>
              <w:left w:val="nil"/>
              <w:bottom w:val="nil"/>
              <w:right w:val="nil"/>
            </w:tcBorders>
            <w:shd w:val="clear" w:color="auto" w:fill="auto"/>
            <w:vAlign w:val="center"/>
          </w:tcPr>
          <w:p>
            <w:pPr>
              <w:widowControl/>
              <w:jc w:val="left"/>
              <w:rPr>
                <w:rFonts w:ascii="宋体" w:cs="宋体"/>
                <w:color w:val="000000"/>
                <w:kern w:val="0"/>
                <w:sz w:val="20"/>
                <w:szCs w:val="20"/>
              </w:rPr>
            </w:pPr>
          </w:p>
        </w:tc>
        <w:tc>
          <w:tcPr>
            <w:tcW w:w="4168" w:type="dxa"/>
            <w:gridSpan w:val="3"/>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宋体" w:cs="宋体" w:hint="eastAsia"/>
                <w:color w:val="000000"/>
                <w:kern w:val="0"/>
                <w:sz w:val="20"/>
                <w:szCs w:val="20"/>
              </w:rPr>
              <w:t>单位：万元</w:t>
            </w:r>
          </w:p>
        </w:tc>
      </w:tr>
      <w:tr>
        <w:trPr>
          <w:trHeight w:val="375"/>
          <w:gridBefore w:val="1"/>
          <w:wBefore w:w="87" w:type="dxa"/>
          <w:gridAfter w:val="1"/>
          <w:wAfter w:w="599" w:type="dxa"/>
        </w:trPr>
        <w:tc>
          <w:tcPr>
            <w:tcW w:w="66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收      入</w:t>
            </w:r>
          </w:p>
        </w:tc>
        <w:tc>
          <w:tcPr>
            <w:tcW w:w="6804" w:type="dxa"/>
            <w:gridSpan w:val="4"/>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支      出</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项    目</w:t>
            </w:r>
          </w:p>
        </w:tc>
        <w:tc>
          <w:tcPr>
            <w:tcW w:w="3544"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预算数</w:t>
            </w:r>
          </w:p>
        </w:tc>
        <w:tc>
          <w:tcPr>
            <w:tcW w:w="3402"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项    目</w:t>
            </w:r>
          </w:p>
        </w:tc>
        <w:tc>
          <w:tcPr>
            <w:tcW w:w="3402"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预算数</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一、本年收入</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3,736.94</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一、本年支出</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3,737.66</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（一）一般公共预算拨款</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3,736.94</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（一）一般公共服务支出</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2,348.02</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（二）政府性基金预算拨款</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（二）公共安全支出</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425.97</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（三）国有资本经营预算拨款</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（三）社会保障和就业支出</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380.43</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　</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（四）卫生健康支出</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248.08</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二、上年结转</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0.72</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（五）住房保障支出</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335.16</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（一）一般公共预算拨款</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0.72</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　</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（二）政府性基金预算拨款</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　</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（三）国有资本经营预算拨款</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color w:val="000000"/>
                <w:kern w:val="0"/>
                <w:sz w:val="18"/>
                <w:szCs w:val="18"/>
              </w:rPr>
            </w:pPr>
            <w:r>
              <w:rPr>
                <w:rFonts w:ascii="宋体" w:cs="宋体" w:hint="eastAsia"/>
                <w:color w:val="000000"/>
                <w:kern w:val="0"/>
                <w:sz w:val="18"/>
                <w:szCs w:val="18"/>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　</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r>
      <w:tr>
        <w:trPr>
          <w:trHeight w:val="375"/>
          <w:gridBefore w:val="1"/>
          <w:wBefore w:w="87" w:type="dxa"/>
          <w:gridAfter w:val="1"/>
          <w:wAfter w:w="599" w:type="dxa"/>
        </w:trPr>
        <w:tc>
          <w:tcPr>
            <w:tcW w:w="3140"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 xml:space="preserve">     收    入    总    计</w:t>
            </w:r>
          </w:p>
        </w:tc>
        <w:tc>
          <w:tcPr>
            <w:tcW w:w="3544"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3,737.66</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cs="宋体"/>
                <w:kern w:val="0"/>
                <w:sz w:val="20"/>
                <w:szCs w:val="20"/>
              </w:rPr>
            </w:pPr>
            <w:r>
              <w:rPr>
                <w:rFonts w:ascii="宋体" w:cs="宋体" w:hint="eastAsia"/>
                <w:kern w:val="0"/>
                <w:sz w:val="20"/>
                <w:szCs w:val="20"/>
              </w:rPr>
              <w:t xml:space="preserve">     支    出    总    计</w:t>
            </w:r>
          </w:p>
        </w:tc>
        <w:tc>
          <w:tcPr>
            <w:tcW w:w="3402"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3,737.66</w:t>
            </w: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Ind w:w="87" w:type="dxa"/>
        <w:tblW w:w="1377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640"/>
        <w:gridCol w:w="3642"/>
        <w:gridCol w:w="409"/>
        <w:gridCol w:w="1071"/>
        <w:gridCol w:w="489"/>
        <w:gridCol w:w="951"/>
        <w:gridCol w:w="608"/>
        <w:gridCol w:w="932"/>
        <w:gridCol w:w="769"/>
        <w:gridCol w:w="651"/>
        <w:gridCol w:w="908"/>
        <w:gridCol w:w="1701"/>
      </w:tblGrid>
      <w:tr>
        <w:trPr>
          <w:trHeight w:val="345"/>
        </w:trPr>
        <w:tc>
          <w:tcPr>
            <w:tcW w:w="1640" w:type="dxa"/>
            <w:tcBorders>
              <w:top w:val="nil"/>
              <w:left w:val="nil"/>
              <w:bottom w:val="nil"/>
              <w:right w:val="nil"/>
            </w:tcBorders>
            <w:shd w:val="clear" w:color="auto" w:fill="auto"/>
            <w:noWrap/>
            <w:vAlign w:val="bottom"/>
          </w:tcPr>
          <w:p>
            <w:pPr>
              <w:widowControl/>
              <w:jc w:val="left"/>
              <w:rPr>
                <w:rFonts w:cs="宋体"/>
                <w:kern w:val="0"/>
                <w:sz w:val="22"/>
              </w:rPr>
            </w:pPr>
            <w:bookmarkStart w:id="0" w:name="RANGE!A1:E71"/>
            <w:bookmarkEnd w:id="0"/>
          </w:p>
        </w:tc>
        <w:tc>
          <w:tcPr>
            <w:tcW w:w="3642" w:type="dxa"/>
            <w:tcBorders>
              <w:top w:val="nil"/>
              <w:left w:val="nil"/>
              <w:bottom w:val="nil"/>
              <w:right w:val="nil"/>
            </w:tcBorders>
            <w:shd w:val="clear" w:color="auto" w:fill="auto"/>
            <w:noWrap/>
            <w:vAlign w:val="bottom"/>
          </w:tcPr>
          <w:p>
            <w:pPr>
              <w:widowControl/>
              <w:jc w:val="left"/>
              <w:rPr>
                <w:rFonts w:cs="宋体"/>
                <w:kern w:val="0"/>
                <w:sz w:val="22"/>
              </w:rPr>
            </w:pPr>
          </w:p>
        </w:tc>
        <w:tc>
          <w:tcPr>
            <w:tcW w:w="148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144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154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142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2609" w:type="dxa"/>
            <w:gridSpan w:val="2"/>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Times New Roman" w:eastAsia="黑体" w:cs="宋体" w:hAnsi="Times New Roman" w:hint="eastAsia"/>
                <w:color w:val="000000"/>
                <w:kern w:val="0"/>
                <w:sz w:val="20"/>
                <w:szCs w:val="20"/>
              </w:rPr>
              <w:t>部门公开</w:t>
            </w:r>
            <w:r>
              <w:rPr>
                <w:rFonts w:ascii="宋体" w:cs="宋体" w:hint="eastAsia"/>
                <w:color w:val="000000"/>
                <w:kern w:val="0"/>
                <w:sz w:val="20"/>
                <w:szCs w:val="20"/>
              </w:rPr>
              <w:t>表5</w:t>
            </w:r>
          </w:p>
        </w:tc>
      </w:tr>
      <w:tr>
        <w:trPr>
          <w:trHeight w:val="555"/>
        </w:trPr>
        <w:tc>
          <w:tcPr>
            <w:tcW w:w="13771" w:type="dxa"/>
            <w:gridSpan w:val="12"/>
            <w:tcBorders>
              <w:top w:val="nil"/>
              <w:left w:val="nil"/>
              <w:bottom w:val="nil"/>
              <w:right w:val="nil"/>
            </w:tcBorders>
            <w:shd w:val="clear" w:color="auto" w:fill="auto"/>
            <w:noWrap/>
            <w:vAlign w:val="center"/>
          </w:tcPr>
          <w:p>
            <w:pPr>
              <w:widowControl/>
              <w:jc w:val="center"/>
              <w:rPr>
                <w:rFonts w:ascii="宋体" w:cs="宋体"/>
                <w:b/>
                <w:bCs/>
                <w:color w:val="000000"/>
                <w:kern w:val="0"/>
                <w:sz w:val="48"/>
                <w:szCs w:val="48"/>
              </w:rPr>
            </w:pPr>
            <w:r>
              <w:rPr>
                <w:rFonts w:ascii="宋体" w:cs="宋体" w:hint="eastAsia"/>
                <w:b/>
                <w:bCs/>
                <w:color w:val="000000"/>
                <w:kern w:val="0"/>
                <w:sz w:val="48"/>
                <w:szCs w:val="48"/>
              </w:rPr>
              <w:t>一般公共预算支出表</w:t>
            </w:r>
          </w:p>
        </w:tc>
      </w:tr>
      <w:tr>
        <w:trPr>
          <w:trHeight w:val="330"/>
        </w:trPr>
        <w:tc>
          <w:tcPr>
            <w:tcW w:w="11162" w:type="dxa"/>
            <w:gridSpan w:val="10"/>
            <w:tcBorders>
              <w:top w:val="nil"/>
              <w:left w:val="nil"/>
              <w:bottom w:val="nil"/>
              <w:right w:val="nil"/>
            </w:tcBorders>
            <w:shd w:val="clear" w:color="auto" w:fill="auto"/>
            <w:vAlign w:val="center"/>
          </w:tcPr>
          <w:p>
            <w:pPr>
              <w:widowControl/>
              <w:jc w:val="left"/>
              <w:rPr>
                <w:rFonts w:ascii="宋体" w:cs="宋体"/>
                <w:color w:val="000000"/>
                <w:kern w:val="0"/>
                <w:sz w:val="20"/>
                <w:szCs w:val="20"/>
              </w:rPr>
            </w:pPr>
          </w:p>
        </w:tc>
        <w:tc>
          <w:tcPr>
            <w:tcW w:w="2609" w:type="dxa"/>
            <w:gridSpan w:val="2"/>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宋体" w:cs="宋体" w:hint="eastAsia"/>
                <w:color w:val="000000"/>
                <w:kern w:val="0"/>
                <w:sz w:val="20"/>
                <w:szCs w:val="20"/>
              </w:rPr>
              <w:t>单位：万元</w:t>
            </w:r>
          </w:p>
        </w:tc>
      </w:tr>
      <w:tr>
        <w:trPr>
          <w:trHeight w:val="480"/>
        </w:trPr>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科目代码</w:t>
            </w:r>
          </w:p>
        </w:tc>
        <w:tc>
          <w:tcPr>
            <w:tcW w:w="40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科目名称</w:t>
            </w:r>
          </w:p>
        </w:tc>
        <w:tc>
          <w:tcPr>
            <w:tcW w:w="8080" w:type="dxa"/>
            <w:gridSpan w:val="9"/>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本年一般公共预算支出</w:t>
            </w:r>
          </w:p>
        </w:tc>
      </w:tr>
      <w:tr>
        <w:trPr>
          <w:trHeight w:val="420"/>
        </w:trPr>
        <w:tc>
          <w:tcPr>
            <w:tcW w:w="1640" w:type="dxa"/>
            <w:vMerge/>
            <w:tcBorders>
              <w:top w:val="single" w:sz="4" w:space="0" w:color="000000"/>
              <w:left w:val="single" w:sz="4" w:space="0" w:color="000000"/>
              <w:bottom w:val="single" w:sz="4" w:space="0" w:color="000000"/>
              <w:right w:val="single" w:sz="4" w:space="0" w:color="000000"/>
            </w:tcBorders>
            <w:vAlign w:val="center"/>
          </w:tcPr>
          <w:p/>
        </w:tc>
        <w:tc>
          <w:tcPr>
            <w:tcW w:w="4051" w:type="dxa"/>
            <w:gridSpan w:val="2"/>
            <w:vMerge/>
            <w:tcBorders>
              <w:top w:val="single" w:sz="4" w:space="0" w:color="000000"/>
              <w:left w:val="single" w:sz="4" w:space="0" w:color="000000"/>
              <w:bottom w:val="single" w:sz="4" w:space="0" w:color="000000"/>
              <w:right w:val="single" w:sz="4" w:space="0" w:color="000000"/>
            </w:tcBorders>
            <w:vAlign w:val="center"/>
          </w:tcPr>
          <w:p/>
        </w:tc>
        <w:tc>
          <w:tcPr>
            <w:tcW w:w="1560" w:type="dxa"/>
            <w:gridSpan w:val="2"/>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合计</w:t>
            </w:r>
          </w:p>
        </w:tc>
        <w:tc>
          <w:tcPr>
            <w:tcW w:w="4819" w:type="dxa"/>
            <w:gridSpan w:val="6"/>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基本支出</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项目支出</w:t>
            </w:r>
          </w:p>
        </w:tc>
      </w:tr>
      <w:tr>
        <w:trPr>
          <w:trHeight w:val="480"/>
        </w:trPr>
        <w:tc>
          <w:tcPr>
            <w:tcW w:w="1640" w:type="dxa"/>
            <w:vMerge/>
            <w:tcBorders>
              <w:top w:val="single" w:sz="4" w:space="0" w:color="000000"/>
              <w:left w:val="single" w:sz="4" w:space="0" w:color="000000"/>
              <w:bottom w:val="single" w:sz="4" w:space="0" w:color="000000"/>
              <w:right w:val="single" w:sz="4" w:space="0" w:color="000000"/>
            </w:tcBorders>
            <w:vAlign w:val="center"/>
          </w:tcPr>
          <w:p/>
        </w:tc>
        <w:tc>
          <w:tcPr>
            <w:tcW w:w="4051" w:type="dxa"/>
            <w:gridSpan w:val="2"/>
            <w:vMerge/>
            <w:tcBorders>
              <w:top w:val="single" w:sz="4" w:space="0" w:color="000000"/>
              <w:left w:val="single" w:sz="4" w:space="0" w:color="000000"/>
              <w:bottom w:val="single" w:sz="4" w:space="0" w:color="000000"/>
              <w:right w:val="single" w:sz="4" w:space="0" w:color="000000"/>
            </w:tcBorders>
            <w:vAlign w:val="center"/>
          </w:tcPr>
          <w:p/>
        </w:tc>
        <w:tc>
          <w:tcPr>
            <w:tcW w:w="1560" w:type="dxa"/>
            <w:gridSpan w:val="2"/>
            <w:vMerge/>
            <w:tcBorders>
              <w:top w:val="nil"/>
              <w:left w:val="single" w:sz="4" w:space="0" w:color="000000"/>
              <w:bottom w:val="single" w:sz="4" w:space="0" w:color="000000"/>
              <w:right w:val="single" w:sz="4" w:space="0" w:color="000000"/>
            </w:tcBorders>
            <w:vAlign w:val="center"/>
          </w:tcPr>
          <w:p/>
        </w:tc>
        <w:tc>
          <w:tcPr>
            <w:tcW w:w="1559"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小计</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人员经费</w:t>
            </w:r>
          </w:p>
        </w:tc>
        <w:tc>
          <w:tcPr>
            <w:tcW w:w="1559"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公用经费</w:t>
            </w:r>
          </w:p>
        </w:tc>
        <w:tc>
          <w:tcPr>
            <w:tcW w:w="1701" w:type="dxa"/>
            <w:vMerge/>
            <w:tcBorders>
              <w:top w:val="nil"/>
              <w:left w:val="single" w:sz="4" w:space="0" w:color="000000"/>
              <w:bottom w:val="single" w:sz="4" w:space="0" w:color="000000"/>
              <w:right w:val="single" w:sz="4" w:space="0" w:color="000000"/>
            </w:tcBorders>
            <w:vAlign w:val="center"/>
          </w:tcP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201</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一般公共服务支出</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2,347.98</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2,163.35</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1,594.00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569.35</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184.63</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20109</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海关事务</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2,347.98</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2,163.35</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1,594.00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569.35</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184.63</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2010901</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行政运行</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2,163.35</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2,163.35</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1,594.00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569.35</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2010905</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缉私办案</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4.53</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4.53</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2010909</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海关关务</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150.60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150.60</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2010911</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海关监管</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11.00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11.00</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2010912</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检验检疫</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18.50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18.50</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204</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公共安全支出</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425.29</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365.29</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271.06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94.23</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60.00</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20410</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缉私警察</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425.29</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365.29</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271.06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94.23</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60.00</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2041001</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行政运行</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365.29</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365.29</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271.06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94.23</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2041007</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缉私业务</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60.00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60.00</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208</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社会保障和就业支出</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380.43</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380.43</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376.56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3.87</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20805</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行政事业单位养老支出</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380.43</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380.43</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376.56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3.87</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2080501</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行政单位离退休</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3.87</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3.87</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3.87</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2080505</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机关事业单位基本养老保险缴费支出</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240.75</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240.75</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240.75</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2080506</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机关事业单位职业年金缴费支出</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135.81</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135.81</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135.81</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210</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卫生健康支出</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248.08</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248.08</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248.08</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21011</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行政事业单位医疗</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248.08</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248.08</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248.08</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2101101</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行政单位医疗</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154.77</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154.77</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154.77</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2101103</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公务员医疗补助</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90.20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90.20</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90.20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2101199</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其他行政事业单位医疗支出</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3.11</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3.11</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3.11</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221</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住房保障支出</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335.16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335.16</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335.16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22102</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住房改革支出</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335.16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335.16</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335.16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2210201</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住房公积金</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180.00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180.00</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180.00</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2210203</w:t>
            </w:r>
          </w:p>
        </w:tc>
        <w:tc>
          <w:tcPr>
            <w:tcW w:w="405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xml:space="preserve">    购房补贴</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155.16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155.16</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155.16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375"/>
        </w:trPr>
        <w:tc>
          <w:tcPr>
            <w:tcW w:w="1640"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宋体"/>
                <w:b/>
                <w:bCs/>
                <w:kern w:val="0"/>
                <w:sz w:val="20"/>
                <w:szCs w:val="20"/>
              </w:rPr>
            </w:pPr>
            <w:r>
              <w:rPr>
                <w:rFonts w:ascii="宋体" w:cs="宋体" w:hint="eastAsia"/>
                <w:b/>
                <w:bCs/>
                <w:kern w:val="0"/>
                <w:sz w:val="20"/>
                <w:szCs w:val="20"/>
              </w:rPr>
              <w:t>　</w:t>
            </w:r>
          </w:p>
        </w:tc>
        <w:tc>
          <w:tcPr>
            <w:tcW w:w="4051" w:type="dxa"/>
            <w:gridSpan w:val="2"/>
            <w:tcBorders>
              <w:top w:val="nil"/>
              <w:left w:val="nil"/>
              <w:bottom w:val="single" w:sz="4" w:space="0" w:color="000000"/>
              <w:right w:val="single" w:sz="4" w:space="0" w:color="000000"/>
            </w:tcBorders>
            <w:shd w:val="clear" w:color="auto" w:fill="auto"/>
            <w:noWrap/>
            <w:vAlign w:val="bottom"/>
          </w:tcPr>
          <w:p>
            <w:pPr>
              <w:widowControl/>
              <w:jc w:val="center"/>
              <w:rPr>
                <w:rFonts w:cs="宋体"/>
                <w:b/>
                <w:bCs/>
                <w:kern w:val="0"/>
                <w:sz w:val="20"/>
                <w:szCs w:val="20"/>
              </w:rPr>
            </w:pPr>
            <w:r>
              <w:rPr>
                <w:rFonts w:cs="宋体"/>
                <w:b/>
                <w:bCs/>
                <w:kern w:val="0"/>
                <w:sz w:val="20"/>
                <w:szCs w:val="20"/>
              </w:rPr>
              <w:t>合               计</w:t>
            </w:r>
          </w:p>
        </w:tc>
        <w:tc>
          <w:tcPr>
            <w:tcW w:w="15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kern w:val="0"/>
                <w:sz w:val="20"/>
                <w:szCs w:val="20"/>
              </w:rPr>
            </w:pPr>
            <w:r>
              <w:rPr>
                <w:rFonts w:ascii="宋体" w:cs="宋体" w:hint="eastAsia"/>
                <w:b/>
                <w:bCs/>
                <w:kern w:val="0"/>
                <w:sz w:val="20"/>
                <w:szCs w:val="20"/>
              </w:rPr>
              <w:t>3,736.94</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kern w:val="0"/>
                <w:sz w:val="20"/>
                <w:szCs w:val="20"/>
              </w:rPr>
            </w:pPr>
            <w:r>
              <w:rPr>
                <w:rFonts w:ascii="宋体" w:cs="宋体" w:hint="eastAsia"/>
                <w:b/>
                <w:bCs/>
                <w:kern w:val="0"/>
                <w:sz w:val="20"/>
                <w:szCs w:val="20"/>
              </w:rPr>
              <w:t>3,492.31</w:t>
            </w:r>
          </w:p>
        </w:tc>
        <w:tc>
          <w:tcPr>
            <w:tcW w:w="170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kern w:val="0"/>
                <w:sz w:val="20"/>
                <w:szCs w:val="20"/>
              </w:rPr>
            </w:pPr>
            <w:r>
              <w:rPr>
                <w:rFonts w:ascii="宋体" w:cs="宋体" w:hint="eastAsia"/>
                <w:b/>
                <w:bCs/>
                <w:kern w:val="0"/>
                <w:sz w:val="20"/>
                <w:szCs w:val="20"/>
              </w:rPr>
              <w:t>2,824.86</w:t>
            </w:r>
          </w:p>
        </w:tc>
        <w:tc>
          <w:tcPr>
            <w:tcW w:w="155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kern w:val="0"/>
                <w:sz w:val="20"/>
                <w:szCs w:val="20"/>
              </w:rPr>
            </w:pPr>
            <w:r>
              <w:rPr>
                <w:rFonts w:ascii="宋体" w:cs="宋体" w:hint="eastAsia"/>
                <w:b/>
                <w:bCs/>
                <w:kern w:val="0"/>
                <w:sz w:val="20"/>
                <w:szCs w:val="20"/>
              </w:rPr>
              <w:t>667.45</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kern w:val="0"/>
                <w:sz w:val="20"/>
                <w:szCs w:val="20"/>
              </w:rPr>
            </w:pPr>
            <w:r>
              <w:rPr>
                <w:rFonts w:ascii="宋体" w:cs="宋体" w:hint="eastAsia"/>
                <w:b/>
                <w:bCs/>
                <w:kern w:val="0"/>
                <w:sz w:val="20"/>
                <w:szCs w:val="20"/>
              </w:rPr>
              <w:t>244.63</w:t>
            </w:r>
          </w:p>
        </w:tc>
      </w:tr>
    </w:tbl>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Ind w:w="87" w:type="dxa"/>
        <w:tblW w:w="1306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20"/>
        <w:gridCol w:w="2920"/>
        <w:gridCol w:w="643"/>
        <w:gridCol w:w="2097"/>
        <w:gridCol w:w="454"/>
        <w:gridCol w:w="1986"/>
        <w:gridCol w:w="707"/>
        <w:gridCol w:w="2835"/>
      </w:tblGrid>
      <w:tr>
        <w:trPr>
          <w:trHeight w:val="345"/>
        </w:trPr>
        <w:tc>
          <w:tcPr>
            <w:tcW w:w="1420" w:type="dxa"/>
            <w:tcBorders>
              <w:top w:val="nil"/>
              <w:left w:val="nil"/>
              <w:bottom w:val="nil"/>
              <w:right w:val="nil"/>
            </w:tcBorders>
            <w:shd w:val="clear" w:color="auto" w:fill="auto"/>
            <w:noWrap/>
            <w:vAlign w:val="bottom"/>
          </w:tcPr>
          <w:p>
            <w:pPr>
              <w:widowControl/>
              <w:jc w:val="left"/>
              <w:rPr>
                <w:rFonts w:cs="宋体"/>
                <w:kern w:val="0"/>
                <w:sz w:val="22"/>
              </w:rPr>
            </w:pPr>
          </w:p>
        </w:tc>
        <w:tc>
          <w:tcPr>
            <w:tcW w:w="2920" w:type="dxa"/>
            <w:tcBorders>
              <w:top w:val="nil"/>
              <w:left w:val="nil"/>
              <w:bottom w:val="nil"/>
              <w:right w:val="nil"/>
            </w:tcBorders>
            <w:shd w:val="clear" w:color="auto" w:fill="auto"/>
            <w:noWrap/>
            <w:vAlign w:val="bottom"/>
          </w:tcPr>
          <w:p>
            <w:pPr>
              <w:widowControl/>
              <w:jc w:val="left"/>
              <w:rPr>
                <w:rFonts w:cs="宋体"/>
                <w:kern w:val="0"/>
                <w:sz w:val="22"/>
              </w:rPr>
            </w:pPr>
          </w:p>
        </w:tc>
        <w:tc>
          <w:tcPr>
            <w:tcW w:w="274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244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3542" w:type="dxa"/>
            <w:gridSpan w:val="2"/>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Times New Roman" w:eastAsia="黑体" w:cs="宋体" w:hAnsi="Times New Roman" w:hint="eastAsia"/>
                <w:color w:val="000000"/>
                <w:kern w:val="0"/>
                <w:sz w:val="20"/>
                <w:szCs w:val="20"/>
              </w:rPr>
              <w:t>部门公开</w:t>
            </w:r>
            <w:r>
              <w:rPr>
                <w:rFonts w:ascii="宋体" w:cs="宋体" w:hint="eastAsia"/>
                <w:color w:val="000000"/>
                <w:kern w:val="0"/>
                <w:sz w:val="20"/>
                <w:szCs w:val="20"/>
              </w:rPr>
              <w:t>表6</w:t>
            </w:r>
          </w:p>
        </w:tc>
      </w:tr>
      <w:tr>
        <w:trPr>
          <w:trHeight w:val="675"/>
        </w:trPr>
        <w:tc>
          <w:tcPr>
            <w:tcW w:w="13062" w:type="dxa"/>
            <w:gridSpan w:val="8"/>
            <w:tcBorders>
              <w:top w:val="nil"/>
              <w:left w:val="nil"/>
              <w:bottom w:val="nil"/>
              <w:right w:val="nil"/>
            </w:tcBorders>
            <w:shd w:val="clear" w:color="auto" w:fill="auto"/>
            <w:noWrap/>
            <w:vAlign w:val="center"/>
          </w:tcPr>
          <w:p>
            <w:pPr>
              <w:widowControl/>
              <w:jc w:val="center"/>
              <w:rPr>
                <w:rFonts w:ascii="宋体" w:cs="宋体"/>
                <w:b/>
                <w:bCs/>
                <w:color w:val="000000"/>
                <w:kern w:val="0"/>
                <w:sz w:val="48"/>
                <w:szCs w:val="48"/>
              </w:rPr>
            </w:pPr>
            <w:r>
              <w:rPr>
                <w:rFonts w:ascii="宋体" w:cs="宋体" w:hint="eastAsia"/>
                <w:b/>
                <w:bCs/>
                <w:color w:val="000000"/>
                <w:kern w:val="0"/>
                <w:sz w:val="48"/>
                <w:szCs w:val="48"/>
              </w:rPr>
              <w:t>一般公共预算基本支出表</w:t>
            </w:r>
          </w:p>
        </w:tc>
      </w:tr>
      <w:tr>
        <w:trPr>
          <w:trHeight w:val="315"/>
        </w:trPr>
        <w:tc>
          <w:tcPr>
            <w:tcW w:w="9520" w:type="dxa"/>
            <w:gridSpan w:val="6"/>
            <w:tcBorders>
              <w:top w:val="nil"/>
              <w:left w:val="nil"/>
              <w:bottom w:val="nil"/>
              <w:right w:val="nil"/>
            </w:tcBorders>
            <w:shd w:val="clear" w:color="auto" w:fill="auto"/>
            <w:vAlign w:val="center"/>
          </w:tcPr>
          <w:p>
            <w:pPr>
              <w:widowControl/>
              <w:jc w:val="left"/>
              <w:rPr>
                <w:rFonts w:ascii="宋体" w:cs="宋体"/>
                <w:kern w:val="0"/>
                <w:sz w:val="16"/>
                <w:szCs w:val="16"/>
              </w:rPr>
            </w:pPr>
          </w:p>
        </w:tc>
        <w:tc>
          <w:tcPr>
            <w:tcW w:w="3542" w:type="dxa"/>
            <w:gridSpan w:val="2"/>
            <w:tcBorders>
              <w:top w:val="nil"/>
              <w:left w:val="nil"/>
              <w:bottom w:val="nil"/>
              <w:right w:val="nil"/>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单位：万元</w:t>
            </w:r>
          </w:p>
        </w:tc>
      </w:tr>
      <w:tr>
        <w:trPr>
          <w:trHeight w:val="375"/>
        </w:trPr>
        <w:tc>
          <w:tcPr>
            <w:tcW w:w="49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部门预算支出经济分类科目</w:t>
            </w:r>
          </w:p>
        </w:tc>
        <w:tc>
          <w:tcPr>
            <w:tcW w:w="8079"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本年一般公共预算基本支出</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科目代码</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科目名称</w:t>
            </w:r>
          </w:p>
        </w:tc>
        <w:tc>
          <w:tcPr>
            <w:tcW w:w="2551"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合计</w:t>
            </w:r>
          </w:p>
        </w:tc>
        <w:tc>
          <w:tcPr>
            <w:tcW w:w="2693"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人员经费</w:t>
            </w:r>
          </w:p>
        </w:tc>
        <w:tc>
          <w:tcPr>
            <w:tcW w:w="2835"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6"/>
                <w:szCs w:val="16"/>
              </w:rPr>
            </w:pPr>
            <w:r>
              <w:rPr>
                <w:rFonts w:ascii="宋体" w:cs="宋体" w:hint="eastAsia"/>
                <w:color w:val="000000"/>
                <w:kern w:val="0"/>
                <w:sz w:val="16"/>
                <w:szCs w:val="16"/>
              </w:rPr>
              <w:t>公用经费</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b/>
                <w:bCs/>
                <w:color w:val="000000"/>
                <w:kern w:val="0"/>
                <w:sz w:val="16"/>
                <w:szCs w:val="16"/>
              </w:rPr>
            </w:pPr>
            <w:r>
              <w:rPr>
                <w:rFonts w:ascii="宋体" w:cs="宋体" w:hint="eastAsia"/>
                <w:b/>
                <w:bCs/>
                <w:color w:val="000000"/>
                <w:kern w:val="0"/>
                <w:sz w:val="16"/>
                <w:szCs w:val="16"/>
              </w:rPr>
              <w:t>301</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b/>
                <w:bCs/>
                <w:color w:val="000000"/>
                <w:kern w:val="0"/>
                <w:sz w:val="16"/>
                <w:szCs w:val="16"/>
              </w:rPr>
            </w:pPr>
            <w:r>
              <w:rPr>
                <w:rFonts w:ascii="宋体" w:cs="宋体" w:hint="eastAsia"/>
                <w:b/>
                <w:bCs/>
                <w:color w:val="000000"/>
                <w:kern w:val="0"/>
                <w:sz w:val="16"/>
                <w:szCs w:val="16"/>
              </w:rPr>
              <w:t>工资福利支出</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color w:val="000000"/>
                <w:kern w:val="0"/>
                <w:sz w:val="16"/>
                <w:szCs w:val="16"/>
              </w:rPr>
            </w:pPr>
            <w:r>
              <w:rPr>
                <w:rFonts w:ascii="宋体" w:cs="宋体" w:hint="eastAsia"/>
                <w:b/>
                <w:bCs/>
                <w:color w:val="000000"/>
                <w:kern w:val="0"/>
                <w:sz w:val="16"/>
                <w:szCs w:val="16"/>
              </w:rPr>
              <w:t>2,824.86</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color w:val="000000"/>
                <w:kern w:val="0"/>
                <w:sz w:val="16"/>
                <w:szCs w:val="16"/>
              </w:rPr>
            </w:pPr>
            <w:r>
              <w:rPr>
                <w:rFonts w:ascii="宋体" w:cs="宋体" w:hint="eastAsia"/>
                <w:b/>
                <w:bCs/>
                <w:color w:val="000000"/>
                <w:kern w:val="0"/>
                <w:sz w:val="16"/>
                <w:szCs w:val="16"/>
              </w:rPr>
              <w:t>2,824.86</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color w:val="000000"/>
                <w:kern w:val="0"/>
                <w:sz w:val="16"/>
                <w:szCs w:val="16"/>
              </w:rPr>
            </w:pPr>
            <w:r>
              <w:rPr>
                <w:rFonts w:ascii="宋体" w:cs="宋体" w:hint="eastAsia"/>
                <w:b/>
                <w:bCs/>
                <w:color w:val="000000"/>
                <w:kern w:val="0"/>
                <w:sz w:val="16"/>
                <w:szCs w:val="16"/>
              </w:rPr>
              <w:t>　</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30101</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基本工资</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602.64</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602.64</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30102</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津贴补贴</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1,401.40</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1,401.40</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30103</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奖金</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16.18</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16.18</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30108</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机关事业单位基本养老保险缴费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240.75</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240.75</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30109</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职业年金缴费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135.81</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135.81</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30110</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职工基本医疗保险缴费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154.77</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154.77</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30111</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公务员医疗补助缴费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90.20</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90.20</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30112</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其他社会保障缴费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3.11</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3.11</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30113</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住房公积金</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180.00</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180.00</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b/>
                <w:bCs/>
                <w:color w:val="000000"/>
                <w:kern w:val="0"/>
                <w:sz w:val="16"/>
                <w:szCs w:val="16"/>
              </w:rPr>
            </w:pPr>
            <w:r>
              <w:rPr>
                <w:rFonts w:ascii="宋体" w:cs="宋体" w:hint="eastAsia"/>
                <w:b/>
                <w:bCs/>
                <w:color w:val="000000"/>
                <w:kern w:val="0"/>
                <w:sz w:val="16"/>
                <w:szCs w:val="16"/>
              </w:rPr>
              <w:t>302</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b/>
                <w:bCs/>
                <w:color w:val="000000"/>
                <w:kern w:val="0"/>
                <w:sz w:val="16"/>
                <w:szCs w:val="16"/>
              </w:rPr>
            </w:pPr>
            <w:r>
              <w:rPr>
                <w:rFonts w:ascii="宋体" w:cs="宋体" w:hint="eastAsia"/>
                <w:b/>
                <w:bCs/>
                <w:color w:val="000000"/>
                <w:kern w:val="0"/>
                <w:sz w:val="16"/>
                <w:szCs w:val="16"/>
              </w:rPr>
              <w:t>商品和服务支出</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color w:val="000000"/>
                <w:kern w:val="0"/>
                <w:sz w:val="16"/>
                <w:szCs w:val="16"/>
              </w:rPr>
            </w:pPr>
            <w:r>
              <w:rPr>
                <w:rFonts w:ascii="宋体" w:cs="宋体" w:hint="eastAsia"/>
                <w:b/>
                <w:bCs/>
                <w:color w:val="000000"/>
                <w:kern w:val="0"/>
                <w:sz w:val="16"/>
                <w:szCs w:val="16"/>
              </w:rPr>
              <w:t>653.45</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color w:val="000000"/>
                <w:kern w:val="0"/>
                <w:sz w:val="16"/>
                <w:szCs w:val="16"/>
              </w:rPr>
            </w:pPr>
            <w:r>
              <w:rPr>
                <w:rFonts w:ascii="宋体" w:cs="宋体" w:hint="eastAsia"/>
                <w:b/>
                <w:bCs/>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color w:val="000000"/>
                <w:kern w:val="0"/>
                <w:sz w:val="16"/>
                <w:szCs w:val="16"/>
              </w:rPr>
            </w:pPr>
            <w:r>
              <w:rPr>
                <w:rFonts w:ascii="宋体" w:cs="宋体" w:hint="eastAsia"/>
                <w:b/>
                <w:bCs/>
                <w:color w:val="000000"/>
                <w:kern w:val="0"/>
                <w:sz w:val="16"/>
                <w:szCs w:val="16"/>
              </w:rPr>
              <w:t>653.45</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30201</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办公费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40.01</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40.01</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30205</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水费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6.50</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6.50</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30206</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电费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38.92</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38.92</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30207</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邮电费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42.00</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42.00</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30209</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物业管理费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64.88</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64.88</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30211</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差旅费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20.76</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20.76</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30213</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维修（护）费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22.55</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22.55</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30214</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租赁费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0.10</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0.10</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30216</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培训费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2.00</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2.00</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30217</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公务接待费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0.59</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0.59</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30218</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专用材料费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13.44</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13.44</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30226</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劳务费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118.00</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118.00</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30227</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委托业务费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35.88</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35.88</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30228</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工会经费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36.82</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36.82</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30229</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福利费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60.00</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60.00</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30231</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公务用车运行维护费</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18.01</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18.01</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30239</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其他交通费用</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109.12</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109.12</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30299</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其他商品和服务支出</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23.87</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23.87</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b/>
                <w:bCs/>
                <w:color w:val="000000"/>
                <w:kern w:val="0"/>
                <w:sz w:val="16"/>
                <w:szCs w:val="16"/>
              </w:rPr>
            </w:pPr>
            <w:r>
              <w:rPr>
                <w:rFonts w:ascii="宋体" w:cs="宋体" w:hint="eastAsia"/>
                <w:b/>
                <w:bCs/>
                <w:color w:val="000000"/>
                <w:kern w:val="0"/>
                <w:sz w:val="16"/>
                <w:szCs w:val="16"/>
              </w:rPr>
              <w:t>310</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b/>
                <w:bCs/>
                <w:color w:val="000000"/>
                <w:kern w:val="0"/>
                <w:sz w:val="16"/>
                <w:szCs w:val="16"/>
              </w:rPr>
            </w:pPr>
            <w:r>
              <w:rPr>
                <w:rFonts w:ascii="宋体" w:cs="宋体" w:hint="eastAsia"/>
                <w:b/>
                <w:bCs/>
                <w:color w:val="000000"/>
                <w:kern w:val="0"/>
                <w:sz w:val="16"/>
                <w:szCs w:val="16"/>
              </w:rPr>
              <w:t>资本性支出</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color w:val="000000"/>
                <w:kern w:val="0"/>
                <w:sz w:val="16"/>
                <w:szCs w:val="16"/>
              </w:rPr>
            </w:pPr>
            <w:r>
              <w:rPr>
                <w:rFonts w:ascii="宋体" w:cs="宋体" w:hint="eastAsia"/>
                <w:b/>
                <w:bCs/>
                <w:color w:val="000000"/>
                <w:kern w:val="0"/>
                <w:sz w:val="16"/>
                <w:szCs w:val="16"/>
              </w:rPr>
              <w:t>14.00</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color w:val="000000"/>
                <w:kern w:val="0"/>
                <w:sz w:val="16"/>
                <w:szCs w:val="16"/>
              </w:rPr>
            </w:pPr>
            <w:r>
              <w:rPr>
                <w:rFonts w:ascii="宋体" w:cs="宋体" w:hint="eastAsia"/>
                <w:b/>
                <w:bCs/>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b/>
                <w:bCs/>
                <w:color w:val="000000"/>
                <w:kern w:val="0"/>
                <w:sz w:val="16"/>
                <w:szCs w:val="16"/>
              </w:rPr>
            </w:pPr>
            <w:r>
              <w:rPr>
                <w:rFonts w:ascii="宋体" w:cs="宋体" w:hint="eastAsia"/>
                <w:b/>
                <w:bCs/>
                <w:color w:val="000000"/>
                <w:kern w:val="0"/>
                <w:sz w:val="16"/>
                <w:szCs w:val="16"/>
              </w:rPr>
              <w:t>14.00</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31002</w:t>
            </w:r>
          </w:p>
        </w:tc>
        <w:tc>
          <w:tcPr>
            <w:tcW w:w="3563" w:type="dxa"/>
            <w:gridSpan w:val="2"/>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办公设备购置</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14.00</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　</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color w:val="000000"/>
                <w:kern w:val="0"/>
                <w:sz w:val="16"/>
                <w:szCs w:val="16"/>
              </w:rPr>
            </w:pPr>
            <w:r>
              <w:rPr>
                <w:rFonts w:ascii="宋体" w:cs="宋体" w:hint="eastAsia"/>
                <w:color w:val="000000"/>
                <w:kern w:val="0"/>
                <w:sz w:val="16"/>
                <w:szCs w:val="16"/>
              </w:rPr>
              <w:t>14.00</w:t>
            </w:r>
          </w:p>
        </w:tc>
      </w:tr>
      <w:tr>
        <w:trPr>
          <w:trHeight w:val="375"/>
        </w:trPr>
        <w:tc>
          <w:tcPr>
            <w:tcW w:w="142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3563"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Arial" w:hAnsi="Arial"/>
                <w:b/>
                <w:bCs/>
                <w:kern w:val="0"/>
                <w:sz w:val="16"/>
                <w:szCs w:val="16"/>
              </w:rPr>
            </w:pPr>
            <w:r>
              <w:rPr>
                <w:rFonts w:ascii="Arial" w:hAnsi="Arial"/>
                <w:b/>
                <w:bCs/>
                <w:kern w:val="0"/>
                <w:sz w:val="16"/>
                <w:szCs w:val="16"/>
              </w:rPr>
              <w:t>合        计</w:t>
            </w:r>
          </w:p>
        </w:tc>
        <w:tc>
          <w:tcPr>
            <w:tcW w:w="2551"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b/>
                <w:bCs/>
                <w:kern w:val="0"/>
                <w:sz w:val="16"/>
                <w:szCs w:val="16"/>
              </w:rPr>
            </w:pPr>
            <w:r>
              <w:rPr>
                <w:rFonts w:ascii="Arial" w:hAnsi="Arial"/>
                <w:b/>
                <w:bCs/>
                <w:kern w:val="0"/>
                <w:sz w:val="16"/>
                <w:szCs w:val="16"/>
              </w:rPr>
              <w:t>3,492.31</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b/>
                <w:bCs/>
                <w:kern w:val="0"/>
                <w:sz w:val="16"/>
                <w:szCs w:val="16"/>
              </w:rPr>
            </w:pPr>
            <w:r>
              <w:rPr>
                <w:rFonts w:ascii="Arial" w:hAnsi="Arial"/>
                <w:b/>
                <w:bCs/>
                <w:kern w:val="0"/>
                <w:sz w:val="16"/>
                <w:szCs w:val="16"/>
              </w:rPr>
              <w:t>2,824.86</w:t>
            </w:r>
          </w:p>
        </w:tc>
        <w:tc>
          <w:tcPr>
            <w:tcW w:w="2835"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b/>
                <w:bCs/>
                <w:kern w:val="0"/>
                <w:sz w:val="16"/>
                <w:szCs w:val="16"/>
              </w:rPr>
            </w:pPr>
            <w:r>
              <w:rPr>
                <w:rFonts w:ascii="Arial" w:hAnsi="Arial"/>
                <w:b/>
                <w:bCs/>
                <w:kern w:val="0"/>
                <w:sz w:val="16"/>
                <w:szCs w:val="16"/>
              </w:rPr>
              <w:t>667.45</w:t>
            </w:r>
          </w:p>
        </w:tc>
      </w:tr>
    </w:tbl>
    <w:p>
      <w:pPr>
        <w:jc w:val="cente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Ind w:w="87" w:type="dxa"/>
        <w:tblW w:w="1362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39"/>
        <w:gridCol w:w="141"/>
        <w:gridCol w:w="1840"/>
        <w:gridCol w:w="1780"/>
        <w:gridCol w:w="66"/>
        <w:gridCol w:w="1654"/>
        <w:gridCol w:w="189"/>
        <w:gridCol w:w="2071"/>
        <w:gridCol w:w="339"/>
        <w:gridCol w:w="1641"/>
        <w:gridCol w:w="343"/>
        <w:gridCol w:w="2126"/>
      </w:tblGrid>
      <w:tr>
        <w:trPr>
          <w:trHeight w:val="405"/>
        </w:trPr>
        <w:tc>
          <w:tcPr>
            <w:tcW w:w="1580" w:type="dxa"/>
            <w:gridSpan w:val="2"/>
            <w:tcBorders>
              <w:top w:val="nil"/>
              <w:left w:val="nil"/>
              <w:bottom w:val="nil"/>
              <w:right w:val="nil"/>
            </w:tcBorders>
            <w:shd w:val="clear" w:color="auto" w:fill="auto"/>
            <w:noWrap/>
            <w:vAlign w:val="center"/>
          </w:tcPr>
          <w:p>
            <w:pPr>
              <w:widowControl/>
              <w:jc w:val="left"/>
              <w:rPr>
                <w:rFonts w:ascii="Arial" w:hAnsi="Arial"/>
                <w:kern w:val="0"/>
                <w:sz w:val="20"/>
                <w:szCs w:val="20"/>
              </w:rPr>
            </w:pPr>
          </w:p>
        </w:tc>
        <w:tc>
          <w:tcPr>
            <w:tcW w:w="1840" w:type="dxa"/>
            <w:tcBorders>
              <w:top w:val="nil"/>
              <w:left w:val="nil"/>
              <w:bottom w:val="nil"/>
              <w:right w:val="nil"/>
            </w:tcBorders>
            <w:shd w:val="clear" w:color="auto" w:fill="auto"/>
            <w:noWrap/>
            <w:vAlign w:val="center"/>
          </w:tcPr>
          <w:p>
            <w:pPr>
              <w:widowControl/>
              <w:jc w:val="left"/>
              <w:rPr>
                <w:rFonts w:ascii="Arial" w:hAnsi="Arial"/>
                <w:kern w:val="0"/>
                <w:sz w:val="20"/>
                <w:szCs w:val="20"/>
              </w:rPr>
            </w:pPr>
          </w:p>
        </w:tc>
        <w:tc>
          <w:tcPr>
            <w:tcW w:w="1780" w:type="dxa"/>
            <w:tcBorders>
              <w:top w:val="nil"/>
              <w:left w:val="nil"/>
              <w:bottom w:val="nil"/>
              <w:right w:val="nil"/>
            </w:tcBorders>
            <w:shd w:val="clear" w:color="auto" w:fill="auto"/>
            <w:noWrap/>
            <w:vAlign w:val="center"/>
          </w:tcPr>
          <w:p>
            <w:pPr>
              <w:widowControl/>
              <w:jc w:val="left"/>
              <w:rPr>
                <w:rFonts w:ascii="Arial" w:hAnsi="Arial"/>
                <w:kern w:val="0"/>
                <w:sz w:val="20"/>
                <w:szCs w:val="20"/>
              </w:rPr>
            </w:pPr>
          </w:p>
        </w:tc>
        <w:tc>
          <w:tcPr>
            <w:tcW w:w="1720" w:type="dxa"/>
            <w:gridSpan w:val="2"/>
            <w:tcBorders>
              <w:top w:val="nil"/>
              <w:left w:val="nil"/>
              <w:bottom w:val="nil"/>
              <w:right w:val="nil"/>
            </w:tcBorders>
            <w:shd w:val="clear" w:color="auto" w:fill="auto"/>
            <w:noWrap/>
            <w:vAlign w:val="center"/>
          </w:tcPr>
          <w:p>
            <w:pPr>
              <w:widowControl/>
              <w:jc w:val="left"/>
              <w:rPr>
                <w:rFonts w:ascii="Arial" w:hAnsi="Arial"/>
                <w:kern w:val="0"/>
                <w:sz w:val="20"/>
                <w:szCs w:val="20"/>
              </w:rPr>
            </w:pPr>
          </w:p>
        </w:tc>
        <w:tc>
          <w:tcPr>
            <w:tcW w:w="2260" w:type="dxa"/>
            <w:gridSpan w:val="2"/>
            <w:tcBorders>
              <w:top w:val="nil"/>
              <w:left w:val="nil"/>
              <w:bottom w:val="nil"/>
              <w:right w:val="nil"/>
            </w:tcBorders>
            <w:shd w:val="clear" w:color="auto" w:fill="auto"/>
            <w:noWrap/>
            <w:vAlign w:val="center"/>
          </w:tcPr>
          <w:p>
            <w:pPr>
              <w:widowControl/>
              <w:jc w:val="left"/>
              <w:rPr>
                <w:rFonts w:ascii="Arial" w:hAnsi="Arial"/>
                <w:kern w:val="0"/>
                <w:sz w:val="20"/>
                <w:szCs w:val="20"/>
              </w:rPr>
            </w:pPr>
          </w:p>
        </w:tc>
        <w:tc>
          <w:tcPr>
            <w:tcW w:w="1980" w:type="dxa"/>
            <w:gridSpan w:val="2"/>
            <w:tcBorders>
              <w:top w:val="nil"/>
              <w:left w:val="nil"/>
              <w:bottom w:val="nil"/>
              <w:right w:val="nil"/>
            </w:tcBorders>
            <w:shd w:val="clear" w:color="auto" w:fill="auto"/>
            <w:noWrap/>
            <w:vAlign w:val="center"/>
          </w:tcPr>
          <w:p>
            <w:pPr>
              <w:widowControl/>
              <w:jc w:val="left"/>
              <w:rPr>
                <w:rFonts w:ascii="Arial" w:hAnsi="Arial"/>
                <w:kern w:val="0"/>
                <w:sz w:val="20"/>
                <w:szCs w:val="20"/>
              </w:rPr>
            </w:pPr>
          </w:p>
        </w:tc>
        <w:tc>
          <w:tcPr>
            <w:tcW w:w="2469" w:type="dxa"/>
            <w:gridSpan w:val="2"/>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Times New Roman" w:eastAsia="黑体" w:cs="宋体" w:hAnsi="Times New Roman" w:hint="eastAsia"/>
                <w:color w:val="000000"/>
                <w:kern w:val="0"/>
                <w:sz w:val="20"/>
                <w:szCs w:val="20"/>
              </w:rPr>
              <w:t>部门公开</w:t>
            </w:r>
            <w:r>
              <w:rPr>
                <w:rFonts w:ascii="宋体" w:cs="宋体" w:hint="eastAsia"/>
                <w:color w:val="000000"/>
                <w:kern w:val="0"/>
                <w:sz w:val="20"/>
                <w:szCs w:val="20"/>
              </w:rPr>
              <w:t>表7</w:t>
            </w:r>
          </w:p>
        </w:tc>
      </w:tr>
      <w:tr>
        <w:trPr>
          <w:trHeight w:val="660"/>
        </w:trPr>
        <w:tc>
          <w:tcPr>
            <w:tcW w:w="13629" w:type="dxa"/>
            <w:gridSpan w:val="12"/>
            <w:tcBorders>
              <w:top w:val="nil"/>
              <w:left w:val="nil"/>
              <w:bottom w:val="nil"/>
              <w:right w:val="nil"/>
            </w:tcBorders>
            <w:shd w:val="clear" w:color="auto" w:fill="auto"/>
            <w:noWrap/>
            <w:vAlign w:val="center"/>
          </w:tcPr>
          <w:p>
            <w:pPr>
              <w:widowControl/>
              <w:jc w:val="center"/>
              <w:rPr>
                <w:rFonts w:ascii="宋体" w:cs="宋体"/>
                <w:b/>
                <w:bCs/>
                <w:color w:val="000000"/>
                <w:kern w:val="0"/>
                <w:sz w:val="48"/>
                <w:szCs w:val="48"/>
              </w:rPr>
            </w:pPr>
            <w:r>
              <w:rPr>
                <w:rFonts w:ascii="宋体" w:cs="宋体" w:hint="eastAsia"/>
                <w:b/>
                <w:bCs/>
                <w:color w:val="000000"/>
                <w:kern w:val="0"/>
                <w:sz w:val="48"/>
                <w:szCs w:val="48"/>
              </w:rPr>
              <w:t>政府性基金预算支出表</w:t>
            </w:r>
          </w:p>
        </w:tc>
      </w:tr>
      <w:tr>
        <w:trPr>
          <w:trHeight w:val="315"/>
        </w:trPr>
        <w:tc>
          <w:tcPr>
            <w:tcW w:w="11160" w:type="dxa"/>
            <w:gridSpan w:val="10"/>
            <w:tcBorders>
              <w:top w:val="nil"/>
              <w:left w:val="nil"/>
              <w:bottom w:val="nil"/>
              <w:right w:val="nil"/>
            </w:tcBorders>
            <w:shd w:val="clear" w:color="auto" w:fill="auto"/>
            <w:vAlign w:val="center"/>
          </w:tcPr>
          <w:p>
            <w:pPr>
              <w:widowControl/>
              <w:jc w:val="left"/>
              <w:rPr>
                <w:rFonts w:ascii="宋体" w:cs="宋体"/>
                <w:color w:val="000000"/>
                <w:kern w:val="0"/>
                <w:sz w:val="20"/>
                <w:szCs w:val="20"/>
              </w:rPr>
            </w:pPr>
          </w:p>
        </w:tc>
        <w:tc>
          <w:tcPr>
            <w:tcW w:w="2469" w:type="dxa"/>
            <w:gridSpan w:val="2"/>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宋体" w:cs="宋体" w:hint="eastAsia"/>
                <w:color w:val="000000"/>
                <w:kern w:val="0"/>
                <w:sz w:val="20"/>
                <w:szCs w:val="20"/>
              </w:rPr>
              <w:t>单位：万元</w:t>
            </w:r>
          </w:p>
        </w:tc>
      </w:tr>
      <w:tr>
        <w:trPr>
          <w:trHeight w:val="465"/>
        </w:trPr>
        <w:tc>
          <w:tcPr>
            <w:tcW w:w="14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科目代码</w:t>
            </w:r>
          </w:p>
        </w:tc>
        <w:tc>
          <w:tcPr>
            <w:tcW w:w="198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科目名称</w:t>
            </w:r>
          </w:p>
        </w:tc>
        <w:tc>
          <w:tcPr>
            <w:tcW w:w="10209" w:type="dxa"/>
            <w:gridSpan w:val="9"/>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本年政府性基金预算支出</w:t>
            </w:r>
          </w:p>
        </w:tc>
      </w:tr>
      <w:tr>
        <w:trPr>
          <w:trHeight w:val="420"/>
        </w:trPr>
        <w:tc>
          <w:tcPr>
            <w:tcW w:w="1439" w:type="dxa"/>
            <w:vMerge/>
            <w:tcBorders>
              <w:top w:val="single" w:sz="4" w:space="0" w:color="000000"/>
              <w:left w:val="single" w:sz="4" w:space="0" w:color="000000"/>
              <w:bottom w:val="single" w:sz="4" w:space="0" w:color="000000"/>
              <w:right w:val="single" w:sz="4" w:space="0" w:color="000000"/>
            </w:tcBorders>
            <w:vAlign w:val="center"/>
          </w:tcPr>
          <w:p/>
        </w:tc>
        <w:tc>
          <w:tcPr>
            <w:tcW w:w="1981" w:type="dxa"/>
            <w:gridSpan w:val="2"/>
            <w:vMerge/>
            <w:tcBorders>
              <w:top w:val="single" w:sz="4" w:space="0" w:color="000000"/>
              <w:left w:val="single" w:sz="4" w:space="0" w:color="000000"/>
              <w:bottom w:val="single" w:sz="4" w:space="0" w:color="000000"/>
              <w:right w:val="single" w:sz="4" w:space="0" w:color="000000"/>
            </w:tcBorders>
            <w:vAlign w:val="center"/>
          </w:tcPr>
          <w:p/>
        </w:tc>
        <w:tc>
          <w:tcPr>
            <w:tcW w:w="1846" w:type="dxa"/>
            <w:gridSpan w:val="2"/>
            <w:vMerge w:val="restart"/>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Arial" w:hAnsi="Arial"/>
                <w:kern w:val="0"/>
                <w:sz w:val="20"/>
                <w:szCs w:val="20"/>
              </w:rPr>
            </w:pPr>
            <w:r>
              <w:rPr>
                <w:rFonts w:ascii="Arial" w:hAnsi="Arial"/>
                <w:kern w:val="0"/>
                <w:sz w:val="20"/>
                <w:szCs w:val="20"/>
              </w:rPr>
              <w:t>合计</w:t>
            </w:r>
          </w:p>
        </w:tc>
        <w:tc>
          <w:tcPr>
            <w:tcW w:w="6237" w:type="dxa"/>
            <w:gridSpan w:val="6"/>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Arial" w:hAnsi="Arial"/>
                <w:kern w:val="0"/>
                <w:sz w:val="20"/>
                <w:szCs w:val="20"/>
              </w:rPr>
            </w:pPr>
            <w:r>
              <w:rPr>
                <w:rFonts w:ascii="Arial" w:hAnsi="Arial"/>
                <w:kern w:val="0"/>
                <w:sz w:val="20"/>
                <w:szCs w:val="20"/>
              </w:rPr>
              <w:t>基本支出</w:t>
            </w:r>
          </w:p>
        </w:tc>
        <w:tc>
          <w:tcPr>
            <w:tcW w:w="2126" w:type="dxa"/>
            <w:vMerge w:val="restart"/>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Arial" w:hAnsi="Arial"/>
                <w:kern w:val="0"/>
                <w:sz w:val="20"/>
                <w:szCs w:val="20"/>
              </w:rPr>
            </w:pPr>
            <w:r>
              <w:rPr>
                <w:rFonts w:ascii="Arial" w:hAnsi="Arial"/>
                <w:kern w:val="0"/>
                <w:sz w:val="20"/>
                <w:szCs w:val="20"/>
              </w:rPr>
              <w:t>项目支出</w:t>
            </w:r>
          </w:p>
        </w:tc>
      </w:tr>
      <w:tr>
        <w:trPr>
          <w:trHeight w:val="420"/>
        </w:trPr>
        <w:tc>
          <w:tcPr>
            <w:tcW w:w="1439" w:type="dxa"/>
            <w:vMerge/>
            <w:tcBorders>
              <w:top w:val="single" w:sz="4" w:space="0" w:color="000000"/>
              <w:left w:val="single" w:sz="4" w:space="0" w:color="000000"/>
              <w:bottom w:val="single" w:sz="4" w:space="0" w:color="000000"/>
              <w:right w:val="single" w:sz="4" w:space="0" w:color="000000"/>
            </w:tcBorders>
            <w:vAlign w:val="center"/>
          </w:tcPr>
          <w:p/>
        </w:tc>
        <w:tc>
          <w:tcPr>
            <w:tcW w:w="1981" w:type="dxa"/>
            <w:gridSpan w:val="2"/>
            <w:vMerge/>
            <w:tcBorders>
              <w:top w:val="single" w:sz="4" w:space="0" w:color="000000"/>
              <w:left w:val="single" w:sz="4" w:space="0" w:color="000000"/>
              <w:bottom w:val="single" w:sz="4" w:space="0" w:color="000000"/>
              <w:right w:val="single" w:sz="4" w:space="0" w:color="000000"/>
            </w:tcBorders>
            <w:vAlign w:val="center"/>
          </w:tcPr>
          <w:p/>
        </w:tc>
        <w:tc>
          <w:tcPr>
            <w:tcW w:w="1846" w:type="dxa"/>
            <w:gridSpan w:val="2"/>
            <w:vMerge/>
            <w:tcBorders>
              <w:top w:val="nil"/>
              <w:left w:val="single" w:sz="4" w:space="0" w:color="000000"/>
              <w:bottom w:val="single" w:sz="4" w:space="0" w:color="000000"/>
              <w:right w:val="single" w:sz="4" w:space="0" w:color="000000"/>
            </w:tcBorders>
            <w:vAlign w:val="center"/>
          </w:tcPr>
          <w:p/>
        </w:tc>
        <w:tc>
          <w:tcPr>
            <w:tcW w:w="1843"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Arial" w:hAnsi="Arial"/>
                <w:kern w:val="0"/>
                <w:sz w:val="20"/>
                <w:szCs w:val="20"/>
              </w:rPr>
            </w:pPr>
            <w:r>
              <w:rPr>
                <w:rFonts w:ascii="Arial" w:hAnsi="Arial"/>
                <w:kern w:val="0"/>
                <w:sz w:val="20"/>
                <w:szCs w:val="20"/>
              </w:rPr>
              <w:t>小计</w:t>
            </w:r>
          </w:p>
        </w:tc>
        <w:tc>
          <w:tcPr>
            <w:tcW w:w="2410"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Arial" w:hAnsi="Arial"/>
                <w:kern w:val="0"/>
                <w:sz w:val="20"/>
                <w:szCs w:val="20"/>
              </w:rPr>
            </w:pPr>
            <w:r>
              <w:rPr>
                <w:rFonts w:ascii="Arial" w:hAnsi="Arial"/>
                <w:kern w:val="0"/>
                <w:sz w:val="20"/>
                <w:szCs w:val="20"/>
              </w:rPr>
              <w:t>人员经费</w:t>
            </w:r>
          </w:p>
        </w:tc>
        <w:tc>
          <w:tcPr>
            <w:tcW w:w="1984"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Arial" w:hAnsi="Arial"/>
                <w:kern w:val="0"/>
                <w:sz w:val="20"/>
                <w:szCs w:val="20"/>
              </w:rPr>
            </w:pPr>
            <w:r>
              <w:rPr>
                <w:rFonts w:ascii="Arial" w:hAnsi="Arial"/>
                <w:kern w:val="0"/>
                <w:sz w:val="20"/>
                <w:szCs w:val="20"/>
              </w:rPr>
              <w:t>公用经费</w:t>
            </w:r>
          </w:p>
        </w:tc>
        <w:tc>
          <w:tcPr>
            <w:tcW w:w="2126" w:type="dxa"/>
            <w:vMerge/>
            <w:tcBorders>
              <w:top w:val="nil"/>
              <w:left w:val="single" w:sz="4" w:space="0" w:color="000000"/>
              <w:bottom w:val="single" w:sz="4" w:space="0" w:color="000000"/>
              <w:right w:val="single" w:sz="4" w:space="0" w:color="000000"/>
            </w:tcBorders>
            <w:vAlign w:val="center"/>
          </w:tcPr>
          <w:p/>
        </w:tc>
      </w:tr>
      <w:tr>
        <w:trPr>
          <w:trHeight w:val="375"/>
        </w:trPr>
        <w:tc>
          <w:tcPr>
            <w:tcW w:w="1439"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198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1846"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184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241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198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212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r>
      <w:tr>
        <w:trPr>
          <w:trHeight w:val="375"/>
        </w:trPr>
        <w:tc>
          <w:tcPr>
            <w:tcW w:w="1439"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198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1846"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184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241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198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212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r>
      <w:tr>
        <w:trPr>
          <w:trHeight w:val="375"/>
        </w:trPr>
        <w:tc>
          <w:tcPr>
            <w:tcW w:w="1439"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198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1846"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184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241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198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212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r>
      <w:tr>
        <w:trPr>
          <w:trHeight w:val="375"/>
        </w:trPr>
        <w:tc>
          <w:tcPr>
            <w:tcW w:w="1439"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1981"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Arial" w:hAnsi="Arial"/>
                <w:kern w:val="0"/>
                <w:sz w:val="20"/>
                <w:szCs w:val="20"/>
              </w:rPr>
            </w:pPr>
            <w:r>
              <w:rPr>
                <w:rFonts w:ascii="Arial" w:hAnsi="Arial"/>
                <w:kern w:val="0"/>
                <w:sz w:val="20"/>
                <w:szCs w:val="20"/>
              </w:rPr>
              <w:t>　</w:t>
            </w:r>
          </w:p>
        </w:tc>
        <w:tc>
          <w:tcPr>
            <w:tcW w:w="1846"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184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241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198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c>
          <w:tcPr>
            <w:tcW w:w="212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kern w:val="0"/>
                <w:sz w:val="20"/>
                <w:szCs w:val="20"/>
              </w:rPr>
            </w:pPr>
            <w:r>
              <w:rPr>
                <w:rFonts w:ascii="Arial" w:hAnsi="Arial"/>
                <w:kern w:val="0"/>
                <w:sz w:val="20"/>
                <w:szCs w:val="20"/>
              </w:rPr>
              <w:t>　</w:t>
            </w:r>
          </w:p>
        </w:tc>
      </w:tr>
      <w:tr>
        <w:trPr>
          <w:trHeight w:val="375"/>
        </w:trPr>
        <w:tc>
          <w:tcPr>
            <w:tcW w:w="1439"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Arial" w:hAnsi="Arial"/>
                <w:b/>
                <w:bCs/>
                <w:kern w:val="0"/>
                <w:sz w:val="20"/>
                <w:szCs w:val="20"/>
              </w:rPr>
            </w:pPr>
            <w:r>
              <w:rPr>
                <w:rFonts w:ascii="Arial" w:hAnsi="Arial"/>
                <w:b/>
                <w:bCs/>
                <w:kern w:val="0"/>
                <w:sz w:val="20"/>
                <w:szCs w:val="20"/>
              </w:rPr>
              <w:t>　</w:t>
            </w:r>
          </w:p>
        </w:tc>
        <w:tc>
          <w:tcPr>
            <w:tcW w:w="1981"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Arial" w:hAnsi="Arial"/>
                <w:b/>
                <w:bCs/>
                <w:kern w:val="0"/>
                <w:sz w:val="20"/>
                <w:szCs w:val="20"/>
              </w:rPr>
            </w:pPr>
            <w:r>
              <w:rPr>
                <w:rFonts w:ascii="Arial" w:hAnsi="Arial"/>
                <w:b/>
                <w:bCs/>
                <w:kern w:val="0"/>
                <w:sz w:val="20"/>
                <w:szCs w:val="20"/>
              </w:rPr>
              <w:t>合        计</w:t>
            </w:r>
          </w:p>
        </w:tc>
        <w:tc>
          <w:tcPr>
            <w:tcW w:w="1846"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b/>
                <w:bCs/>
                <w:kern w:val="0"/>
                <w:sz w:val="20"/>
                <w:szCs w:val="20"/>
              </w:rPr>
            </w:pPr>
            <w:r>
              <w:rPr>
                <w:rFonts w:ascii="Arial" w:hAnsi="Arial"/>
                <w:b/>
                <w:bCs/>
                <w:kern w:val="0"/>
                <w:sz w:val="20"/>
                <w:szCs w:val="20"/>
              </w:rPr>
              <w:t>　</w:t>
            </w:r>
          </w:p>
        </w:tc>
        <w:tc>
          <w:tcPr>
            <w:tcW w:w="184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b/>
                <w:bCs/>
                <w:kern w:val="0"/>
                <w:sz w:val="20"/>
                <w:szCs w:val="20"/>
              </w:rPr>
            </w:pPr>
            <w:r>
              <w:rPr>
                <w:rFonts w:ascii="Arial" w:hAnsi="Arial"/>
                <w:b/>
                <w:bCs/>
                <w:kern w:val="0"/>
                <w:sz w:val="20"/>
                <w:szCs w:val="20"/>
              </w:rPr>
              <w:t>　</w:t>
            </w:r>
          </w:p>
        </w:tc>
        <w:tc>
          <w:tcPr>
            <w:tcW w:w="241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b/>
                <w:bCs/>
                <w:kern w:val="0"/>
                <w:sz w:val="20"/>
                <w:szCs w:val="20"/>
              </w:rPr>
            </w:pPr>
            <w:r>
              <w:rPr>
                <w:rFonts w:ascii="Arial" w:hAnsi="Arial"/>
                <w:b/>
                <w:bCs/>
                <w:kern w:val="0"/>
                <w:sz w:val="20"/>
                <w:szCs w:val="20"/>
              </w:rPr>
              <w:t>　</w:t>
            </w:r>
          </w:p>
        </w:tc>
        <w:tc>
          <w:tcPr>
            <w:tcW w:w="198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b/>
                <w:bCs/>
                <w:kern w:val="0"/>
                <w:sz w:val="20"/>
                <w:szCs w:val="20"/>
              </w:rPr>
            </w:pPr>
            <w:r>
              <w:rPr>
                <w:rFonts w:ascii="Arial" w:hAnsi="Arial"/>
                <w:b/>
                <w:bCs/>
                <w:kern w:val="0"/>
                <w:sz w:val="20"/>
                <w:szCs w:val="20"/>
              </w:rPr>
              <w:t>　</w:t>
            </w:r>
          </w:p>
        </w:tc>
        <w:tc>
          <w:tcPr>
            <w:tcW w:w="212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b/>
                <w:bCs/>
                <w:kern w:val="0"/>
                <w:sz w:val="20"/>
                <w:szCs w:val="20"/>
              </w:rPr>
            </w:pPr>
            <w:r>
              <w:rPr>
                <w:rFonts w:ascii="Arial" w:hAnsi="Arial"/>
                <w:b/>
                <w:bCs/>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马尾</w:t>
      </w:r>
      <w:r>
        <w:rPr>
          <w:rFonts w:ascii="Times New Roman" w:eastAsia="方正仿宋_GBK" w:cs="Times New Roman" w:hAnsi="Times New Roman"/>
          <w:sz w:val="24"/>
          <w:szCs w:val="24"/>
        </w:rPr>
        <w:t>海关无</w:t>
      </w:r>
      <w:r>
        <w:rPr>
          <w:rFonts w:ascii="Times New Roman" w:eastAsia="方正仿宋_GBK" w:cs="Times New Roman" w:hAnsi="Times New Roman" w:hint="eastAsia"/>
          <w:sz w:val="24"/>
          <w:szCs w:val="24"/>
        </w:rPr>
        <w:t>政府性基金预算拨款收入，也无使用政府性基金安排的支出，故本表无数据。</w:t>
      </w:r>
    </w:p>
    <w:p>
      <w:pPr>
        <w:jc w:val="center"/>
        <w:rPr>
          <w:rFonts w:ascii="Times New Roman" w:eastAsia="方正仿宋_GBK" w:cs="Times New Roman" w:hAnsi="Times New Roman"/>
          <w:sz w:val="24"/>
          <w:szCs w:val="24"/>
        </w:rPr>
      </w:pPr>
      <w:r>
        <w:rPr>
          <w:rFonts w:ascii="Times New Roman" w:eastAsia="方正仿宋_GBK" w:cs="Times New Roman" w:hAnsi="Times New Roman"/>
          <w:sz w:val="24"/>
          <w:szCs w:val="24"/>
        </w:rPr>
        <w:br w:type="page"/>
      </w:r>
    </w:p>
    <w:tbl>
      <w:tblPr>
        <w:jc w:val="left"/>
        <w:tblInd w:w="87" w:type="dxa"/>
        <w:tblW w:w="1362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20"/>
        <w:gridCol w:w="2020"/>
        <w:gridCol w:w="1860"/>
        <w:gridCol w:w="1820"/>
        <w:gridCol w:w="2380"/>
        <w:gridCol w:w="1960"/>
        <w:gridCol w:w="2169"/>
      </w:tblGrid>
      <w:tr>
        <w:trPr>
          <w:trHeight w:val="405"/>
        </w:trPr>
        <w:tc>
          <w:tcPr>
            <w:tcW w:w="1420" w:type="dxa"/>
            <w:tcBorders>
              <w:top w:val="nil"/>
              <w:left w:val="nil"/>
              <w:bottom w:val="nil"/>
              <w:right w:val="nil"/>
            </w:tcBorders>
            <w:shd w:val="clear" w:color="auto" w:fill="auto"/>
            <w:noWrap/>
            <w:vAlign w:val="center"/>
          </w:tcPr>
          <w:p>
            <w:pPr>
              <w:widowControl/>
              <w:jc w:val="left"/>
              <w:rPr>
                <w:rFonts w:ascii="宋体" w:cs="宋体"/>
                <w:kern w:val="0"/>
                <w:sz w:val="20"/>
                <w:szCs w:val="20"/>
              </w:rPr>
            </w:pPr>
          </w:p>
        </w:tc>
        <w:tc>
          <w:tcPr>
            <w:tcW w:w="2020" w:type="dxa"/>
            <w:tcBorders>
              <w:top w:val="nil"/>
              <w:left w:val="nil"/>
              <w:bottom w:val="nil"/>
              <w:right w:val="nil"/>
            </w:tcBorders>
            <w:shd w:val="clear" w:color="auto" w:fill="auto"/>
            <w:noWrap/>
            <w:vAlign w:val="center"/>
          </w:tcPr>
          <w:p>
            <w:pPr>
              <w:widowControl/>
              <w:jc w:val="left"/>
              <w:rPr>
                <w:rFonts w:ascii="宋体" w:cs="宋体"/>
                <w:kern w:val="0"/>
                <w:sz w:val="20"/>
                <w:szCs w:val="20"/>
              </w:rPr>
            </w:pPr>
          </w:p>
        </w:tc>
        <w:tc>
          <w:tcPr>
            <w:tcW w:w="1860" w:type="dxa"/>
            <w:tcBorders>
              <w:top w:val="nil"/>
              <w:left w:val="nil"/>
              <w:bottom w:val="nil"/>
              <w:right w:val="nil"/>
            </w:tcBorders>
            <w:shd w:val="clear" w:color="auto" w:fill="auto"/>
            <w:noWrap/>
            <w:vAlign w:val="center"/>
          </w:tcPr>
          <w:p>
            <w:pPr>
              <w:widowControl/>
              <w:jc w:val="left"/>
              <w:rPr>
                <w:rFonts w:ascii="宋体" w:cs="宋体"/>
                <w:kern w:val="0"/>
                <w:sz w:val="20"/>
                <w:szCs w:val="20"/>
              </w:rPr>
            </w:pPr>
          </w:p>
        </w:tc>
        <w:tc>
          <w:tcPr>
            <w:tcW w:w="1820" w:type="dxa"/>
            <w:tcBorders>
              <w:top w:val="nil"/>
              <w:left w:val="nil"/>
              <w:bottom w:val="nil"/>
              <w:right w:val="nil"/>
            </w:tcBorders>
            <w:shd w:val="clear" w:color="auto" w:fill="auto"/>
            <w:noWrap/>
            <w:vAlign w:val="center"/>
          </w:tcPr>
          <w:p>
            <w:pPr>
              <w:widowControl/>
              <w:jc w:val="left"/>
              <w:rPr>
                <w:rFonts w:ascii="宋体" w:cs="宋体"/>
                <w:kern w:val="0"/>
                <w:sz w:val="20"/>
                <w:szCs w:val="20"/>
              </w:rPr>
            </w:pPr>
          </w:p>
        </w:tc>
        <w:tc>
          <w:tcPr>
            <w:tcW w:w="2380" w:type="dxa"/>
            <w:tcBorders>
              <w:top w:val="nil"/>
              <w:left w:val="nil"/>
              <w:bottom w:val="nil"/>
              <w:right w:val="nil"/>
            </w:tcBorders>
            <w:shd w:val="clear" w:color="auto" w:fill="auto"/>
            <w:noWrap/>
            <w:vAlign w:val="center"/>
          </w:tcPr>
          <w:p>
            <w:pPr>
              <w:widowControl/>
              <w:jc w:val="left"/>
              <w:rPr>
                <w:rFonts w:ascii="宋体" w:cs="宋体"/>
                <w:kern w:val="0"/>
                <w:sz w:val="20"/>
                <w:szCs w:val="20"/>
              </w:rPr>
            </w:pPr>
          </w:p>
        </w:tc>
        <w:tc>
          <w:tcPr>
            <w:tcW w:w="1960" w:type="dxa"/>
            <w:tcBorders>
              <w:top w:val="nil"/>
              <w:left w:val="nil"/>
              <w:bottom w:val="nil"/>
              <w:right w:val="nil"/>
            </w:tcBorders>
            <w:shd w:val="clear" w:color="auto" w:fill="auto"/>
            <w:noWrap/>
            <w:vAlign w:val="center"/>
          </w:tcPr>
          <w:p>
            <w:pPr>
              <w:widowControl/>
              <w:jc w:val="left"/>
              <w:rPr>
                <w:rFonts w:ascii="宋体" w:cs="宋体"/>
                <w:kern w:val="0"/>
                <w:sz w:val="20"/>
                <w:szCs w:val="20"/>
              </w:rPr>
            </w:pPr>
          </w:p>
        </w:tc>
        <w:tc>
          <w:tcPr>
            <w:tcW w:w="2169" w:type="dxa"/>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Times New Roman" w:eastAsia="黑体" w:cs="宋体" w:hAnsi="Times New Roman" w:hint="eastAsia"/>
                <w:color w:val="000000"/>
                <w:kern w:val="0"/>
                <w:sz w:val="20"/>
                <w:szCs w:val="20"/>
              </w:rPr>
              <w:t>部门公开</w:t>
            </w:r>
            <w:r>
              <w:rPr>
                <w:rFonts w:ascii="宋体" w:cs="宋体" w:hint="eastAsia"/>
                <w:color w:val="000000"/>
                <w:kern w:val="0"/>
                <w:sz w:val="20"/>
                <w:szCs w:val="20"/>
              </w:rPr>
              <w:t>表8</w:t>
            </w:r>
          </w:p>
        </w:tc>
      </w:tr>
      <w:tr>
        <w:trPr>
          <w:trHeight w:val="660"/>
        </w:trPr>
        <w:tc>
          <w:tcPr>
            <w:tcW w:w="13629" w:type="dxa"/>
            <w:gridSpan w:val="7"/>
            <w:tcBorders>
              <w:top w:val="nil"/>
              <w:left w:val="nil"/>
              <w:bottom w:val="nil"/>
              <w:right w:val="nil"/>
            </w:tcBorders>
            <w:shd w:val="clear" w:color="auto" w:fill="auto"/>
            <w:noWrap/>
            <w:vAlign w:val="center"/>
          </w:tcPr>
          <w:p>
            <w:pPr>
              <w:widowControl/>
              <w:jc w:val="center"/>
              <w:rPr>
                <w:rFonts w:ascii="宋体" w:cs="宋体"/>
                <w:b/>
                <w:bCs/>
                <w:color w:val="000000"/>
                <w:kern w:val="0"/>
                <w:sz w:val="48"/>
                <w:szCs w:val="48"/>
              </w:rPr>
            </w:pPr>
            <w:r>
              <w:rPr>
                <w:rFonts w:ascii="宋体" w:cs="宋体" w:hint="eastAsia"/>
                <w:b/>
                <w:bCs/>
                <w:color w:val="000000"/>
                <w:kern w:val="0"/>
                <w:sz w:val="48"/>
                <w:szCs w:val="48"/>
              </w:rPr>
              <w:t>国有资本经营预算支出表</w:t>
            </w:r>
          </w:p>
        </w:tc>
      </w:tr>
      <w:tr>
        <w:trPr>
          <w:trHeight w:val="315"/>
        </w:trPr>
        <w:tc>
          <w:tcPr>
            <w:tcW w:w="11460" w:type="dxa"/>
            <w:gridSpan w:val="6"/>
            <w:tcBorders>
              <w:top w:val="nil"/>
              <w:left w:val="nil"/>
              <w:bottom w:val="nil"/>
              <w:right w:val="nil"/>
            </w:tcBorders>
            <w:shd w:val="clear" w:color="auto" w:fill="auto"/>
            <w:vAlign w:val="center"/>
          </w:tcPr>
          <w:p>
            <w:pPr>
              <w:widowControl/>
              <w:jc w:val="left"/>
              <w:rPr>
                <w:rFonts w:ascii="宋体" w:cs="宋体"/>
                <w:color w:val="000000"/>
                <w:kern w:val="0"/>
                <w:sz w:val="20"/>
                <w:szCs w:val="20"/>
              </w:rPr>
            </w:pPr>
          </w:p>
        </w:tc>
        <w:tc>
          <w:tcPr>
            <w:tcW w:w="2169" w:type="dxa"/>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宋体" w:cs="宋体" w:hint="eastAsia"/>
                <w:color w:val="000000"/>
                <w:kern w:val="0"/>
                <w:sz w:val="20"/>
                <w:szCs w:val="20"/>
              </w:rPr>
              <w:t>单位：万元</w:t>
            </w:r>
          </w:p>
        </w:tc>
      </w:tr>
      <w:tr>
        <w:trPr>
          <w:trHeight w:val="465"/>
        </w:trPr>
        <w:tc>
          <w:tcPr>
            <w:tcW w:w="1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科目代码</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科目名称</w:t>
            </w:r>
          </w:p>
        </w:tc>
        <w:tc>
          <w:tcPr>
            <w:tcW w:w="10189"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本年国有资本经营预算支出</w:t>
            </w:r>
          </w:p>
        </w:tc>
      </w:tr>
      <w:tr>
        <w:trPr>
          <w:trHeight w:val="375"/>
        </w:trPr>
        <w:tc>
          <w:tcPr>
            <w:tcW w:w="1420" w:type="dxa"/>
            <w:vMerge/>
            <w:tcBorders>
              <w:top w:val="single" w:sz="4" w:space="0" w:color="000000"/>
              <w:left w:val="single" w:sz="4" w:space="0" w:color="000000"/>
              <w:bottom w:val="single" w:sz="4" w:space="0" w:color="000000"/>
              <w:right w:val="single" w:sz="4" w:space="0" w:color="000000"/>
            </w:tcBorders>
            <w:vAlign w:val="center"/>
          </w:tcPr>
          <w:p/>
        </w:tc>
        <w:tc>
          <w:tcPr>
            <w:tcW w:w="2020" w:type="dxa"/>
            <w:vMerge/>
            <w:tcBorders>
              <w:top w:val="single" w:sz="4" w:space="0" w:color="000000"/>
              <w:left w:val="single" w:sz="4" w:space="0" w:color="000000"/>
              <w:bottom w:val="single" w:sz="4" w:space="0" w:color="000000"/>
              <w:right w:val="single" w:sz="4" w:space="0" w:color="000000"/>
            </w:tcBorders>
            <w:vAlign w:val="center"/>
          </w:tcPr>
          <w:p/>
        </w:tc>
        <w:tc>
          <w:tcPr>
            <w:tcW w:w="1860" w:type="dxa"/>
            <w:vMerge w:val="restart"/>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宋体"/>
                <w:kern w:val="0"/>
                <w:sz w:val="20"/>
                <w:szCs w:val="20"/>
              </w:rPr>
            </w:pPr>
            <w:r>
              <w:rPr>
                <w:rFonts w:ascii="宋体" w:cs="宋体" w:hint="eastAsia"/>
                <w:kern w:val="0"/>
                <w:sz w:val="20"/>
                <w:szCs w:val="20"/>
              </w:rPr>
              <w:t>合计</w:t>
            </w:r>
          </w:p>
        </w:tc>
        <w:tc>
          <w:tcPr>
            <w:tcW w:w="6160" w:type="dxa"/>
            <w:gridSpan w:val="3"/>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cs="宋体"/>
                <w:kern w:val="0"/>
                <w:sz w:val="20"/>
                <w:szCs w:val="20"/>
              </w:rPr>
            </w:pPr>
            <w:r>
              <w:rPr>
                <w:rFonts w:ascii="宋体" w:cs="宋体" w:hint="eastAsia"/>
                <w:kern w:val="0"/>
                <w:sz w:val="20"/>
                <w:szCs w:val="20"/>
              </w:rPr>
              <w:t>基本支出</w:t>
            </w:r>
          </w:p>
        </w:tc>
        <w:tc>
          <w:tcPr>
            <w:tcW w:w="2169" w:type="dxa"/>
            <w:vMerge w:val="restart"/>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宋体"/>
                <w:kern w:val="0"/>
                <w:sz w:val="20"/>
                <w:szCs w:val="20"/>
              </w:rPr>
            </w:pPr>
            <w:r>
              <w:rPr>
                <w:rFonts w:ascii="宋体" w:cs="宋体" w:hint="eastAsia"/>
                <w:kern w:val="0"/>
                <w:sz w:val="20"/>
                <w:szCs w:val="20"/>
              </w:rPr>
              <w:t>项目支出</w:t>
            </w:r>
          </w:p>
        </w:tc>
      </w:tr>
      <w:tr>
        <w:trPr>
          <w:trHeight w:val="420"/>
        </w:trPr>
        <w:tc>
          <w:tcPr>
            <w:tcW w:w="1420" w:type="dxa"/>
            <w:vMerge/>
            <w:tcBorders>
              <w:top w:val="single" w:sz="4" w:space="0" w:color="000000"/>
              <w:left w:val="single" w:sz="4" w:space="0" w:color="000000"/>
              <w:bottom w:val="single" w:sz="4" w:space="0" w:color="000000"/>
              <w:right w:val="single" w:sz="4" w:space="0" w:color="000000"/>
            </w:tcBorders>
            <w:vAlign w:val="center"/>
          </w:tcPr>
          <w:p/>
        </w:tc>
        <w:tc>
          <w:tcPr>
            <w:tcW w:w="2020" w:type="dxa"/>
            <w:vMerge/>
            <w:tcBorders>
              <w:top w:val="single" w:sz="4" w:space="0" w:color="000000"/>
              <w:left w:val="single" w:sz="4" w:space="0" w:color="000000"/>
              <w:bottom w:val="single" w:sz="4" w:space="0" w:color="000000"/>
              <w:right w:val="single" w:sz="4" w:space="0" w:color="000000"/>
            </w:tcBorders>
            <w:vAlign w:val="center"/>
          </w:tcPr>
          <w:p/>
        </w:tc>
        <w:tc>
          <w:tcPr>
            <w:tcW w:w="1860" w:type="dxa"/>
            <w:vMerge/>
            <w:tcBorders>
              <w:top w:val="nil"/>
              <w:left w:val="single" w:sz="4" w:space="0" w:color="000000"/>
              <w:bottom w:val="single" w:sz="4" w:space="0" w:color="000000"/>
              <w:right w:val="single" w:sz="4" w:space="0" w:color="000000"/>
            </w:tcBorders>
            <w:vAlign w:val="center"/>
          </w:tcPr>
          <w:p/>
        </w:tc>
        <w:tc>
          <w:tcPr>
            <w:tcW w:w="1820"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宋体"/>
                <w:kern w:val="0"/>
                <w:sz w:val="20"/>
                <w:szCs w:val="20"/>
              </w:rPr>
            </w:pPr>
            <w:r>
              <w:rPr>
                <w:rFonts w:ascii="宋体" w:cs="宋体" w:hint="eastAsia"/>
                <w:kern w:val="0"/>
                <w:sz w:val="20"/>
                <w:szCs w:val="20"/>
              </w:rPr>
              <w:t>小计</w:t>
            </w:r>
          </w:p>
        </w:tc>
        <w:tc>
          <w:tcPr>
            <w:tcW w:w="2380"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宋体"/>
                <w:kern w:val="0"/>
                <w:sz w:val="20"/>
                <w:szCs w:val="20"/>
              </w:rPr>
            </w:pPr>
            <w:r>
              <w:rPr>
                <w:rFonts w:ascii="宋体" w:cs="宋体" w:hint="eastAsia"/>
                <w:kern w:val="0"/>
                <w:sz w:val="20"/>
                <w:szCs w:val="20"/>
              </w:rPr>
              <w:t>人员经费</w:t>
            </w:r>
          </w:p>
        </w:tc>
        <w:tc>
          <w:tcPr>
            <w:tcW w:w="196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公用经费</w:t>
            </w:r>
          </w:p>
        </w:tc>
        <w:tc>
          <w:tcPr>
            <w:tcW w:w="2169" w:type="dxa"/>
            <w:vMerge/>
            <w:tcBorders>
              <w:top w:val="nil"/>
              <w:left w:val="single" w:sz="4" w:space="0" w:color="000000"/>
              <w:bottom w:val="single" w:sz="4" w:space="0" w:color="000000"/>
              <w:right w:val="single" w:sz="4" w:space="0" w:color="000000"/>
            </w:tcBorders>
            <w:vAlign w:val="center"/>
          </w:tcPr>
          <w:p/>
        </w:tc>
      </w:tr>
      <w:tr>
        <w:trPr>
          <w:trHeight w:val="450"/>
        </w:trPr>
        <w:tc>
          <w:tcPr>
            <w:tcW w:w="142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20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18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82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238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9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216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450"/>
        </w:trPr>
        <w:tc>
          <w:tcPr>
            <w:tcW w:w="142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20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18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82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238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9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216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450"/>
        </w:trPr>
        <w:tc>
          <w:tcPr>
            <w:tcW w:w="142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20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18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82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238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9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216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450"/>
        </w:trPr>
        <w:tc>
          <w:tcPr>
            <w:tcW w:w="142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20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　</w:t>
            </w:r>
          </w:p>
        </w:tc>
        <w:tc>
          <w:tcPr>
            <w:tcW w:w="18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82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238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9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216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r>
        <w:trPr>
          <w:trHeight w:val="450"/>
        </w:trPr>
        <w:tc>
          <w:tcPr>
            <w:tcW w:w="1420"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宋体"/>
                <w:b/>
                <w:bCs/>
                <w:kern w:val="0"/>
                <w:sz w:val="20"/>
                <w:szCs w:val="20"/>
              </w:rPr>
            </w:pPr>
            <w:r>
              <w:rPr>
                <w:rFonts w:ascii="宋体" w:cs="宋体" w:hint="eastAsia"/>
                <w:b/>
                <w:bCs/>
                <w:kern w:val="0"/>
                <w:sz w:val="20"/>
                <w:szCs w:val="20"/>
              </w:rPr>
              <w:t>　</w:t>
            </w:r>
          </w:p>
        </w:tc>
        <w:tc>
          <w:tcPr>
            <w:tcW w:w="2020"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宋体"/>
                <w:b/>
                <w:bCs/>
                <w:kern w:val="0"/>
                <w:sz w:val="20"/>
                <w:szCs w:val="20"/>
              </w:rPr>
            </w:pPr>
            <w:r>
              <w:rPr>
                <w:rFonts w:ascii="宋体" w:cs="宋体" w:hint="eastAsia"/>
                <w:b/>
                <w:bCs/>
                <w:kern w:val="0"/>
                <w:sz w:val="20"/>
                <w:szCs w:val="20"/>
              </w:rPr>
              <w:t>合        计</w:t>
            </w:r>
          </w:p>
        </w:tc>
        <w:tc>
          <w:tcPr>
            <w:tcW w:w="18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82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238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19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c>
          <w:tcPr>
            <w:tcW w:w="216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宋体"/>
                <w:kern w:val="0"/>
                <w:sz w:val="20"/>
                <w:szCs w:val="20"/>
              </w:rPr>
            </w:pPr>
            <w:r>
              <w:rPr>
                <w:rFonts w:ascii="宋体" w:cs="宋体" w:hint="eastAsia"/>
                <w:kern w:val="0"/>
                <w:sz w:val="20"/>
                <w:szCs w:val="20"/>
              </w:rPr>
              <w:t>　</w:t>
            </w:r>
          </w:p>
        </w:tc>
      </w:tr>
    </w:tbl>
    <w:p>
      <w:pPr>
        <w:rPr>
          <w:rFonts w:ascii="Times New Roman" w:eastAsia="方正仿宋_GBK" w:cs="Times New Roman" w:hAnsi="Times New Roman"/>
          <w:sz w:val="24"/>
          <w:szCs w:val="24"/>
        </w:rPr>
        <w:sectPr>
          <w:pgSz w:w="16838" w:h="11906" w:orient="landscape"/>
          <w:pgMar w:top="1800" w:right="1440" w:bottom="1800" w:left="1440" w:header="851" w:footer="992" w:gutter="0"/>
          <w:docGrid w:type="lines" w:linePitch="312" w:charSpace="0"/>
        </w:sect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马尾</w:t>
      </w:r>
      <w:r>
        <w:rPr>
          <w:rFonts w:ascii="Times New Roman" w:eastAsia="方正仿宋_GBK" w:cs="Times New Roman" w:hAnsi="Times New Roman"/>
          <w:sz w:val="24"/>
          <w:szCs w:val="24"/>
        </w:rPr>
        <w:t>海关无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tbl>
      <w:tblPr>
        <w:jc w:val="left"/>
        <w:tblInd w:w="87" w:type="dxa"/>
        <w:tblW w:w="1348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660"/>
        <w:gridCol w:w="346"/>
        <w:gridCol w:w="1714"/>
        <w:gridCol w:w="412"/>
        <w:gridCol w:w="1548"/>
        <w:gridCol w:w="295"/>
        <w:gridCol w:w="2025"/>
        <w:gridCol w:w="385"/>
        <w:gridCol w:w="1975"/>
        <w:gridCol w:w="434"/>
        <w:gridCol w:w="2694"/>
      </w:tblGrid>
      <w:tr>
        <w:trPr>
          <w:trHeight w:val="300"/>
        </w:trPr>
        <w:tc>
          <w:tcPr>
            <w:tcW w:w="1660" w:type="dxa"/>
            <w:tcBorders>
              <w:top w:val="nil"/>
              <w:left w:val="nil"/>
              <w:bottom w:val="nil"/>
              <w:right w:val="nil"/>
            </w:tcBorders>
            <w:shd w:val="clear" w:color="auto" w:fill="auto"/>
            <w:noWrap/>
            <w:vAlign w:val="bottom"/>
          </w:tcPr>
          <w:p>
            <w:pPr>
              <w:widowControl/>
              <w:jc w:val="left"/>
              <w:rPr>
                <w:rFonts w:cs="宋体"/>
                <w:kern w:val="0"/>
                <w:sz w:val="22"/>
              </w:rPr>
            </w:pPr>
          </w:p>
        </w:tc>
        <w:tc>
          <w:tcPr>
            <w:tcW w:w="206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196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232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2360" w:type="dxa"/>
            <w:gridSpan w:val="2"/>
            <w:tcBorders>
              <w:top w:val="nil"/>
              <w:left w:val="nil"/>
              <w:bottom w:val="nil"/>
              <w:right w:val="nil"/>
            </w:tcBorders>
            <w:shd w:val="clear" w:color="auto" w:fill="auto"/>
            <w:noWrap/>
            <w:vAlign w:val="bottom"/>
          </w:tcPr>
          <w:p>
            <w:pPr>
              <w:widowControl/>
              <w:jc w:val="left"/>
              <w:rPr>
                <w:rFonts w:cs="宋体"/>
                <w:kern w:val="0"/>
                <w:sz w:val="22"/>
              </w:rPr>
            </w:pPr>
          </w:p>
        </w:tc>
        <w:tc>
          <w:tcPr>
            <w:tcW w:w="3128" w:type="dxa"/>
            <w:gridSpan w:val="2"/>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Times New Roman" w:eastAsia="黑体" w:cs="宋体" w:hAnsi="Times New Roman" w:hint="eastAsia"/>
                <w:color w:val="000000"/>
                <w:kern w:val="0"/>
                <w:sz w:val="20"/>
                <w:szCs w:val="20"/>
              </w:rPr>
              <w:t>部门公开</w:t>
            </w:r>
            <w:r>
              <w:rPr>
                <w:rFonts w:ascii="宋体" w:cs="宋体" w:hint="eastAsia"/>
                <w:color w:val="000000"/>
                <w:kern w:val="0"/>
                <w:sz w:val="20"/>
                <w:szCs w:val="20"/>
              </w:rPr>
              <w:t>表9</w:t>
            </w:r>
          </w:p>
        </w:tc>
      </w:tr>
      <w:tr>
        <w:trPr>
          <w:trHeight w:val="750"/>
        </w:trPr>
        <w:tc>
          <w:tcPr>
            <w:tcW w:w="13488" w:type="dxa"/>
            <w:gridSpan w:val="11"/>
            <w:tcBorders>
              <w:top w:val="nil"/>
              <w:left w:val="nil"/>
              <w:bottom w:val="nil"/>
              <w:right w:val="nil"/>
            </w:tcBorders>
            <w:shd w:val="clear" w:color="auto" w:fill="auto"/>
            <w:noWrap/>
            <w:vAlign w:val="center"/>
          </w:tcPr>
          <w:p>
            <w:pPr>
              <w:widowControl/>
              <w:jc w:val="center"/>
              <w:rPr>
                <w:rFonts w:ascii="宋体" w:cs="宋体"/>
                <w:b/>
                <w:bCs/>
                <w:color w:val="000000"/>
                <w:kern w:val="0"/>
                <w:sz w:val="48"/>
                <w:szCs w:val="48"/>
              </w:rPr>
            </w:pPr>
            <w:r>
              <w:rPr>
                <w:rFonts w:ascii="宋体" w:cs="宋体" w:hint="eastAsia"/>
                <w:b/>
                <w:bCs/>
                <w:color w:val="000000"/>
                <w:kern w:val="0"/>
                <w:sz w:val="48"/>
                <w:szCs w:val="48"/>
              </w:rPr>
              <w:t>财政拨款预算“三公”经费支出表</w:t>
            </w:r>
          </w:p>
        </w:tc>
      </w:tr>
      <w:tr>
        <w:trPr>
          <w:trHeight w:val="390"/>
        </w:trPr>
        <w:tc>
          <w:tcPr>
            <w:tcW w:w="10794" w:type="dxa"/>
            <w:gridSpan w:val="10"/>
            <w:tcBorders>
              <w:top w:val="nil"/>
              <w:left w:val="nil"/>
              <w:bottom w:val="nil"/>
              <w:right w:val="nil"/>
            </w:tcBorders>
            <w:shd w:val="clear" w:color="auto" w:fill="auto"/>
            <w:vAlign w:val="center"/>
          </w:tcPr>
          <w:p>
            <w:pPr>
              <w:widowControl/>
              <w:jc w:val="left"/>
              <w:rPr>
                <w:rFonts w:ascii="宋体" w:cs="宋体"/>
                <w:color w:val="000000"/>
                <w:kern w:val="0"/>
                <w:sz w:val="20"/>
                <w:szCs w:val="20"/>
              </w:rPr>
            </w:pPr>
          </w:p>
        </w:tc>
        <w:tc>
          <w:tcPr>
            <w:tcW w:w="2694" w:type="dxa"/>
            <w:tcBorders>
              <w:top w:val="nil"/>
              <w:left w:val="nil"/>
              <w:bottom w:val="nil"/>
              <w:right w:val="nil"/>
            </w:tcBorders>
            <w:shd w:val="clear" w:color="auto" w:fill="auto"/>
            <w:noWrap/>
            <w:vAlign w:val="center"/>
          </w:tcPr>
          <w:p>
            <w:pPr>
              <w:widowControl/>
              <w:jc w:val="right"/>
              <w:rPr>
                <w:rFonts w:ascii="宋体" w:cs="宋体"/>
                <w:color w:val="000000"/>
                <w:kern w:val="0"/>
                <w:sz w:val="20"/>
                <w:szCs w:val="20"/>
              </w:rPr>
            </w:pPr>
            <w:r>
              <w:rPr>
                <w:rFonts w:ascii="宋体" w:cs="宋体" w:hint="eastAsia"/>
                <w:color w:val="000000"/>
                <w:kern w:val="0"/>
                <w:sz w:val="20"/>
                <w:szCs w:val="20"/>
              </w:rPr>
              <w:t>单位：万元</w:t>
            </w:r>
          </w:p>
        </w:tc>
      </w:tr>
      <w:tr>
        <w:trPr>
          <w:trHeight w:val="420"/>
        </w:trPr>
        <w:tc>
          <w:tcPr>
            <w:tcW w:w="20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“三公”经费合计</w:t>
            </w:r>
          </w:p>
        </w:tc>
        <w:tc>
          <w:tcPr>
            <w:tcW w:w="21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因公出国（境）费</w:t>
            </w:r>
          </w:p>
        </w:tc>
        <w:tc>
          <w:tcPr>
            <w:tcW w:w="6662" w:type="dxa"/>
            <w:gridSpan w:val="6"/>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公务用车购置及运行费</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公务接待费</w:t>
            </w:r>
          </w:p>
        </w:tc>
      </w:tr>
      <w:tr>
        <w:trPr>
          <w:trHeight w:val="420"/>
        </w:trPr>
        <w:tc>
          <w:tcPr>
            <w:tcW w:w="2006"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126" w:type="dxa"/>
            <w:gridSpan w:val="2"/>
            <w:vMerge/>
            <w:tcBorders>
              <w:top w:val="single" w:sz="4" w:space="0" w:color="000000"/>
              <w:left w:val="single" w:sz="4" w:space="0" w:color="000000"/>
              <w:bottom w:val="single" w:sz="4" w:space="0" w:color="000000"/>
              <w:right w:val="single" w:sz="4" w:space="0" w:color="000000"/>
            </w:tcBorders>
            <w:vAlign w:val="center"/>
          </w:tcPr>
          <w:p/>
        </w:tc>
        <w:tc>
          <w:tcPr>
            <w:tcW w:w="1843"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小计</w:t>
            </w:r>
          </w:p>
        </w:tc>
        <w:tc>
          <w:tcPr>
            <w:tcW w:w="2410"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公务用车购置费</w:t>
            </w:r>
          </w:p>
        </w:tc>
        <w:tc>
          <w:tcPr>
            <w:tcW w:w="2409"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公务用车运行费</w:t>
            </w:r>
          </w:p>
        </w:tc>
        <w:tc>
          <w:tcPr>
            <w:tcW w:w="2694" w:type="dxa"/>
            <w:vMerge/>
            <w:tcBorders>
              <w:top w:val="single" w:sz="4" w:space="0" w:color="000000"/>
              <w:left w:val="single" w:sz="4" w:space="0" w:color="000000"/>
              <w:bottom w:val="single" w:sz="4" w:space="0" w:color="000000"/>
              <w:right w:val="single" w:sz="4" w:space="0" w:color="000000"/>
            </w:tcBorders>
            <w:vAlign w:val="center"/>
          </w:tcPr>
          <w:p/>
        </w:tc>
      </w:tr>
      <w:tr>
        <w:trPr>
          <w:trHeight w:val="450"/>
        </w:trPr>
        <w:tc>
          <w:tcPr>
            <w:tcW w:w="2006" w:type="dxa"/>
            <w:gridSpan w:val="2"/>
            <w:tcBorders>
              <w:top w:val="nil"/>
              <w:left w:val="single" w:sz="4" w:space="0" w:color="000000"/>
              <w:bottom w:val="single" w:sz="4" w:space="0" w:color="000000"/>
              <w:right w:val="single" w:sz="4" w:space="0" w:color="000000"/>
            </w:tcBorders>
            <w:shd w:val="clear" w:color="auto" w:fill="auto"/>
            <w:vAlign w:val="center"/>
          </w:tcPr>
          <w:p>
            <w:pPr>
              <w:widowControl/>
              <w:jc w:val="right"/>
              <w:rPr>
                <w:rFonts w:ascii="微软雅黑" w:eastAsia="微软雅黑" w:cs="宋体"/>
                <w:color w:val="000000"/>
                <w:kern w:val="0"/>
                <w:sz w:val="20"/>
                <w:szCs w:val="20"/>
              </w:rPr>
            </w:pPr>
            <w:r>
              <w:rPr>
                <w:rFonts w:ascii="微软雅黑" w:eastAsia="微软雅黑" w:cs="宋体" w:hint="eastAsia"/>
                <w:color w:val="000000"/>
                <w:kern w:val="0"/>
                <w:sz w:val="20"/>
                <w:szCs w:val="20"/>
              </w:rPr>
              <w:t>54.79</w:t>
            </w:r>
          </w:p>
        </w:tc>
        <w:tc>
          <w:tcPr>
            <w:tcW w:w="2126" w:type="dxa"/>
            <w:gridSpan w:val="2"/>
            <w:tcBorders>
              <w:top w:val="nil"/>
              <w:left w:val="nil"/>
              <w:bottom w:val="single" w:sz="4" w:space="0" w:color="000000"/>
              <w:right w:val="single" w:sz="4" w:space="0" w:color="000000"/>
            </w:tcBorders>
            <w:shd w:val="clear" w:color="auto" w:fill="auto"/>
            <w:vAlign w:val="center"/>
          </w:tcPr>
          <w:p>
            <w:pPr>
              <w:widowControl/>
              <w:jc w:val="right"/>
              <w:rPr>
                <w:rFonts w:ascii="Arial" w:hAnsi="Arial"/>
                <w:color w:val="000000"/>
                <w:kern w:val="0"/>
                <w:sz w:val="20"/>
                <w:szCs w:val="20"/>
              </w:rPr>
            </w:pPr>
            <w:r>
              <w:rPr>
                <w:rFonts w:ascii="Arial" w:hAnsi="Arial"/>
                <w:color w:val="000000"/>
                <w:kern w:val="0"/>
                <w:sz w:val="20"/>
                <w:szCs w:val="20"/>
              </w:rPr>
              <w:t>　</w:t>
            </w:r>
          </w:p>
        </w:tc>
        <w:tc>
          <w:tcPr>
            <w:tcW w:w="1843"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color w:val="000000"/>
                <w:kern w:val="0"/>
                <w:sz w:val="20"/>
                <w:szCs w:val="20"/>
              </w:rPr>
            </w:pPr>
            <w:r>
              <w:rPr>
                <w:rFonts w:ascii="Arial" w:hAnsi="Arial"/>
                <w:color w:val="000000"/>
                <w:kern w:val="0"/>
                <w:sz w:val="20"/>
                <w:szCs w:val="20"/>
              </w:rPr>
              <w:t>54.20</w:t>
            </w:r>
          </w:p>
        </w:tc>
        <w:tc>
          <w:tcPr>
            <w:tcW w:w="241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color w:val="000000"/>
                <w:kern w:val="0"/>
                <w:sz w:val="20"/>
                <w:szCs w:val="20"/>
              </w:rPr>
            </w:pPr>
            <w:r>
              <w:rPr>
                <w:rFonts w:ascii="Arial" w:hAnsi="Arial"/>
                <w:color w:val="000000"/>
                <w:kern w:val="0"/>
                <w:sz w:val="20"/>
                <w:szCs w:val="20"/>
              </w:rPr>
              <w:t>　</w:t>
            </w:r>
          </w:p>
        </w:tc>
        <w:tc>
          <w:tcPr>
            <w:tcW w:w="240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微软雅黑" w:eastAsia="微软雅黑" w:cs="宋体"/>
                <w:color w:val="000000"/>
                <w:kern w:val="0"/>
                <w:sz w:val="20"/>
                <w:szCs w:val="20"/>
              </w:rPr>
            </w:pPr>
            <w:r>
              <w:rPr>
                <w:rFonts w:ascii="微软雅黑" w:eastAsia="微软雅黑" w:cs="宋体" w:hint="eastAsia"/>
                <w:color w:val="000000"/>
                <w:kern w:val="0"/>
                <w:sz w:val="20"/>
                <w:szCs w:val="20"/>
              </w:rPr>
              <w:t>54.20</w:t>
            </w:r>
          </w:p>
        </w:tc>
        <w:tc>
          <w:tcPr>
            <w:tcW w:w="269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hAnsi="Arial"/>
                <w:color w:val="000000"/>
                <w:kern w:val="0"/>
                <w:sz w:val="20"/>
                <w:szCs w:val="20"/>
              </w:rPr>
            </w:pPr>
            <w:r>
              <w:rPr>
                <w:rFonts w:ascii="Arial" w:hAnsi="Arial"/>
                <w:color w:val="000000"/>
                <w:kern w:val="0"/>
                <w:sz w:val="20"/>
                <w:szCs w:val="20"/>
              </w:rPr>
              <w:t>0.59</w:t>
            </w:r>
          </w:p>
        </w:tc>
      </w:tr>
    </w:tbl>
    <w:p>
      <w:pPr>
        <w:rPr>
          <w:rFonts w:ascii="Times New Roman" w:eastAsia="方正仿宋_GBK" w:hAnsi="Times New Roman"/>
          <w:sz w:val="32"/>
          <w:szCs w:val="32"/>
        </w:rPr>
      </w:pPr>
    </w:p>
    <w:p>
      <w:pPr>
        <w:widowControl/>
        <w:jc w:val="left"/>
        <w:rPr>
          <w:rFonts w:ascii="Times New Roman" w:eastAsia="方正仿宋_GBK" w:hAnsi="Times New Roman"/>
          <w:sz w:val="32"/>
          <w:szCs w:val="32"/>
        </w:rPr>
      </w:pPr>
      <w:r>
        <w:rPr>
          <w:rFonts w:ascii="Times New Roman" w:eastAsia="方正仿宋_GBK" w:hAnsi="Times New Roman"/>
          <w:sz w:val="32"/>
          <w:szCs w:val="32"/>
        </w:rPr>
        <w:br w:type="page"/>
      </w: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hint="eastAsia"/>
          <w:b/>
          <w:sz w:val="80"/>
          <w:szCs w:val="80"/>
        </w:rPr>
        <w:t>马尾海关</w:t>
      </w:r>
      <w:r>
        <w:rPr>
          <w:rFonts w:ascii="Times New Roman" w:hAnsi="Times New Roman"/>
          <w:b/>
          <w:sz w:val="80"/>
          <w:szCs w:val="80"/>
        </w:rPr>
        <w:t>202</w:t>
      </w:r>
      <w:r>
        <w:rPr>
          <w:rFonts w:ascii="Times New Roman" w:hAnsi="Times New Roman" w:hint="eastAsia"/>
          <w:b/>
          <w:sz w:val="80"/>
          <w:szCs w:val="80"/>
        </w:rPr>
        <w:t>4年</w:t>
      </w:r>
    </w:p>
    <w:p>
      <w:pPr>
        <w:jc w:val="center"/>
        <w:rPr>
          <w:rFonts w:ascii="Times New Roman" w:hAnsi="Times New Roman"/>
          <w:b/>
          <w:sz w:val="80"/>
          <w:szCs w:val="80"/>
        </w:rPr>
      </w:pPr>
      <w:r>
        <w:rPr>
          <w:rFonts w:ascii="Times New Roman" w:hAnsi="Times New Roman" w:hint="eastAsia"/>
          <w:b/>
          <w:sz w:val="80"/>
          <w:szCs w:val="80"/>
        </w:rPr>
        <w:t>部门预算情况说明</w:t>
      </w:r>
    </w:p>
    <w:p>
      <w:pPr>
        <w:rPr>
          <w:rFonts w:ascii="Times New Roman" w:hAnsi="Times New Roman" w:hint="eastAsia"/>
          <w:b/>
          <w:sz w:val="84"/>
          <w:szCs w:val="84"/>
        </w:rPr>
      </w:pPr>
    </w:p>
    <w:p>
      <w:pPr>
        <w:rPr>
          <w:rFonts w:ascii="Times New Roman" w:hAnsi="Times New Roman" w:hint="eastAsia"/>
          <w:b/>
          <w:sz w:val="84"/>
          <w:szCs w:val="84"/>
        </w:rPr>
      </w:pPr>
    </w:p>
    <w:p>
      <w:pPr>
        <w:rPr>
          <w:rFonts w:ascii="Times New Roman" w:hAnsi="Times New Roman" w:hint="eastAsia"/>
          <w:b/>
          <w:sz w:val="84"/>
          <w:szCs w:val="84"/>
        </w:rPr>
      </w:pP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pStyle w:val="18"/>
        <w:spacing w:line="560" w:lineRule="exact"/>
        <w:ind w:firstLineChars="200" w:firstLine="640"/>
        <w:rPr>
          <w:rFonts w:eastAsia="方正仿宋_GBK"/>
          <w:sz w:val="32"/>
          <w:szCs w:val="32"/>
        </w:rPr>
      </w:pPr>
      <w:r>
        <w:rPr>
          <w:rFonts w:eastAsia="方正黑体_GBK"/>
          <w:sz w:val="32"/>
          <w:szCs w:val="32"/>
        </w:rPr>
        <w:t>一、关于</w:t>
      </w:r>
      <w:r>
        <w:rPr>
          <w:rFonts w:eastAsia="方正黑体_GBK" w:hint="eastAsia"/>
          <w:sz w:val="32"/>
          <w:szCs w:val="32"/>
        </w:rPr>
        <w:t>马尾</w:t>
      </w:r>
      <w:r>
        <w:rPr>
          <w:rFonts w:eastAsia="方正黑体_GBK"/>
          <w:sz w:val="32"/>
          <w:szCs w:val="32"/>
        </w:rPr>
        <w:t>海关202</w:t>
      </w:r>
      <w:r>
        <w:rPr>
          <w:rFonts w:eastAsia="方正黑体_GBK" w:hint="eastAsia"/>
          <w:sz w:val="32"/>
          <w:szCs w:val="32"/>
        </w:rPr>
        <w:t>4</w:t>
      </w:r>
      <w:r>
        <w:rPr>
          <w:rFonts w:eastAsia="方正黑体_GBK"/>
          <w:sz w:val="32"/>
          <w:szCs w:val="32"/>
        </w:rPr>
        <w:t>年收支预算情况的总体说明</w:t>
      </w:r>
    </w:p>
    <w:p>
      <w:pPr>
        <w:pStyle w:val="18"/>
        <w:spacing w:line="560" w:lineRule="exact"/>
        <w:ind w:firstLineChars="200" w:firstLine="640"/>
        <w:rPr>
          <w:rFonts w:eastAsia="方正仿宋_GBK"/>
          <w:sz w:val="32"/>
          <w:szCs w:val="32"/>
        </w:rPr>
      </w:pPr>
      <w:r>
        <w:rPr>
          <w:rFonts w:eastAsia="方正仿宋_GBK"/>
          <w:sz w:val="32"/>
          <w:szCs w:val="32"/>
        </w:rPr>
        <w:t>按照综合预算的原则，海关所有收入和支出均纳入部门预算管理。收入包括：一般公共预算拨款收入、事业收入、事业单位经营收入、其他收入、使用非财政拨款结余、上年结转；支出包括：一般公共服务支出、外交支出、公共安全支出、教育支出、社会保障和就业支出、卫生健康支出、住房保障支出。</w:t>
      </w:r>
      <w:r>
        <w:rPr>
          <w:rFonts w:eastAsia="方正仿宋_GBK" w:hint="eastAsia"/>
          <w:sz w:val="32"/>
          <w:szCs w:val="32"/>
        </w:rPr>
        <w:t>马尾</w:t>
      </w:r>
      <w:r>
        <w:rPr>
          <w:rFonts w:eastAsia="方正仿宋_GBK"/>
          <w:sz w:val="32"/>
          <w:szCs w:val="32"/>
        </w:rPr>
        <w:t>海关202</w:t>
      </w:r>
      <w:r>
        <w:rPr>
          <w:rFonts w:eastAsia="方正仿宋_GBK" w:hint="eastAsia"/>
          <w:sz w:val="32"/>
          <w:szCs w:val="32"/>
        </w:rPr>
        <w:t>4</w:t>
      </w:r>
      <w:r>
        <w:rPr>
          <w:rFonts w:eastAsia="方正仿宋_GBK"/>
          <w:sz w:val="32"/>
          <w:szCs w:val="32"/>
        </w:rPr>
        <w:t>年收支总预算</w:t>
      </w:r>
      <w:r>
        <w:rPr>
          <w:rFonts w:eastAsia="方正仿宋_GBK" w:hint="eastAsia"/>
          <w:sz w:val="32"/>
          <w:szCs w:val="32"/>
        </w:rPr>
        <w:t>5948.04</w:t>
      </w:r>
      <w:r>
        <w:rPr>
          <w:rFonts w:eastAsia="方正仿宋_GBK"/>
          <w:sz w:val="32"/>
          <w:szCs w:val="32"/>
        </w:rPr>
        <w:t>万元。</w:t>
      </w:r>
    </w:p>
    <w:p>
      <w:pPr>
        <w:pStyle w:val="18"/>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马尾</w:t>
      </w:r>
      <w:r>
        <w:rPr>
          <w:rFonts w:eastAsia="方正黑体_GBK"/>
          <w:sz w:val="32"/>
          <w:szCs w:val="32"/>
        </w:rPr>
        <w:t>海关202</w:t>
      </w:r>
      <w:r>
        <w:rPr>
          <w:rFonts w:eastAsia="方正黑体_GBK" w:hint="eastAsia"/>
          <w:sz w:val="32"/>
          <w:szCs w:val="32"/>
        </w:rPr>
        <w:t>4</w:t>
      </w:r>
      <w:r>
        <w:rPr>
          <w:rFonts w:eastAsia="方正黑体_GBK"/>
          <w:sz w:val="32"/>
          <w:szCs w:val="32"/>
        </w:rPr>
        <w:t>年收入预算情况说明</w:t>
      </w:r>
    </w:p>
    <w:p>
      <w:pPr>
        <w:pStyle w:val="18"/>
        <w:spacing w:line="560" w:lineRule="exact"/>
        <w:ind w:firstLineChars="200" w:firstLine="640"/>
        <w:rPr>
          <w:rFonts w:eastAsia="方正仿宋_GBK"/>
          <w:sz w:val="32"/>
          <w:szCs w:val="32"/>
        </w:rPr>
      </w:pPr>
      <w:r>
        <w:rPr>
          <w:rFonts w:eastAsia="方正仿宋_GBK" w:hint="eastAsia"/>
          <w:sz w:val="32"/>
          <w:szCs w:val="32"/>
        </w:rPr>
        <w:t>马尾</w:t>
      </w:r>
      <w:r>
        <w:rPr>
          <w:rFonts w:eastAsia="方正仿宋_GBK"/>
          <w:sz w:val="32"/>
          <w:szCs w:val="32"/>
        </w:rPr>
        <w:t>海关202</w:t>
      </w:r>
      <w:r>
        <w:rPr>
          <w:rFonts w:eastAsia="方正仿宋_GBK" w:hint="eastAsia"/>
          <w:sz w:val="32"/>
          <w:szCs w:val="32"/>
        </w:rPr>
        <w:t>4</w:t>
      </w:r>
      <w:r>
        <w:rPr>
          <w:rFonts w:eastAsia="方正仿宋_GBK"/>
          <w:sz w:val="32"/>
          <w:szCs w:val="32"/>
        </w:rPr>
        <w:t>年收入预算</w:t>
      </w:r>
      <w:r>
        <w:rPr>
          <w:rFonts w:eastAsia="方正仿宋_GBK" w:hint="eastAsia"/>
          <w:sz w:val="32"/>
          <w:szCs w:val="32"/>
        </w:rPr>
        <w:t>5948.04</w:t>
      </w:r>
      <w:r>
        <w:rPr>
          <w:rFonts w:eastAsia="方正仿宋_GBK"/>
          <w:sz w:val="32"/>
          <w:szCs w:val="32"/>
        </w:rPr>
        <w:t>万元，其中：上年结转</w:t>
      </w:r>
      <w:r>
        <w:rPr>
          <w:rFonts w:eastAsia="方正仿宋_GBK" w:hint="eastAsia"/>
          <w:sz w:val="32"/>
          <w:szCs w:val="32"/>
        </w:rPr>
        <w:t>811.1</w:t>
      </w:r>
      <w:r>
        <w:rPr>
          <w:rFonts w:eastAsia="方正仿宋_GBK"/>
          <w:sz w:val="32"/>
          <w:szCs w:val="32"/>
        </w:rPr>
        <w:t>万元，占</w:t>
      </w:r>
      <w:r>
        <w:rPr>
          <w:rFonts w:eastAsia="方正仿宋_GBK" w:hint="eastAsia"/>
          <w:sz w:val="32"/>
          <w:szCs w:val="32"/>
        </w:rPr>
        <w:t>13.64</w:t>
      </w:r>
      <w:r>
        <w:rPr>
          <w:rFonts w:eastAsia="方正仿宋_GBK"/>
          <w:sz w:val="32"/>
          <w:szCs w:val="32"/>
        </w:rPr>
        <w:t>%；一般公共预算财政拨款</w:t>
      </w:r>
      <w:r>
        <w:rPr>
          <w:rFonts w:eastAsia="方正仿宋_GBK" w:hint="eastAsia"/>
          <w:sz w:val="32"/>
          <w:szCs w:val="32"/>
        </w:rPr>
        <w:t>3736.94</w:t>
      </w:r>
      <w:r>
        <w:rPr>
          <w:rFonts w:eastAsia="方正仿宋_GBK"/>
          <w:sz w:val="32"/>
          <w:szCs w:val="32"/>
        </w:rPr>
        <w:t>万元，占</w:t>
      </w:r>
      <w:r>
        <w:rPr>
          <w:rFonts w:eastAsia="方正仿宋_GBK" w:hint="eastAsia"/>
          <w:sz w:val="32"/>
          <w:szCs w:val="32"/>
        </w:rPr>
        <w:t>62.82</w:t>
      </w:r>
      <w:r>
        <w:rPr>
          <w:rFonts w:eastAsia="方正仿宋_GBK"/>
          <w:sz w:val="32"/>
          <w:szCs w:val="32"/>
        </w:rPr>
        <w:t>%；其他收入</w:t>
      </w:r>
      <w:r>
        <w:rPr>
          <w:rFonts w:eastAsia="方正仿宋_GBK" w:hint="eastAsia"/>
          <w:sz w:val="32"/>
          <w:szCs w:val="32"/>
        </w:rPr>
        <w:t>1400</w:t>
      </w:r>
      <w:r>
        <w:rPr>
          <w:rFonts w:eastAsia="方正仿宋_GBK"/>
          <w:sz w:val="32"/>
          <w:szCs w:val="32"/>
        </w:rPr>
        <w:t>万元，占</w:t>
      </w:r>
      <w:r>
        <w:rPr>
          <w:rFonts w:eastAsia="方正仿宋_GBK" w:hint="eastAsia"/>
          <w:sz w:val="32"/>
          <w:szCs w:val="32"/>
        </w:rPr>
        <w:t>23.54</w:t>
      </w:r>
      <w:r>
        <w:rPr>
          <w:rFonts w:eastAsia="方正仿宋_GBK"/>
          <w:sz w:val="32"/>
          <w:szCs w:val="32"/>
        </w:rPr>
        <w:t>%。</w:t>
      </w:r>
    </w:p>
    <w:p>
      <w:pPr>
        <w:pStyle w:val="18"/>
        <w:spacing w:line="560" w:lineRule="exact"/>
        <w:ind w:firstLineChars="200" w:firstLine="640"/>
        <w:rPr>
          <w:rFonts w:eastAsia="方正仿宋_GBK"/>
          <w:sz w:val="32"/>
          <w:szCs w:val="32"/>
        </w:rPr>
      </w:pPr>
      <w:r>
        <w:rPr>
          <w:rFonts w:eastAsia="方正仿宋_GBK"/>
          <w:sz w:val="32"/>
          <w:szCs w:val="32"/>
        </w:rPr>
        <w:drawing>
          <wp:anchor distT="0" distB="0" distL="114300" distR="114300" simplePos="0" relativeHeight="16" behindDoc="0" locked="0" layoutInCell="1" hidden="0" allowOverlap="1">
            <wp:simplePos x="0" y="0"/>
            <wp:positionH relativeFrom="column">
              <wp:posOffset>314960</wp:posOffset>
            </wp:positionH>
            <wp:positionV relativeFrom="paragraph">
              <wp:posOffset>278129</wp:posOffset>
            </wp:positionV>
            <wp:extent cx="5267325" cy="3075939"/>
            <wp:effectExtent l="0" t="0" r="0" b="0"/>
            <wp:wrapNone/>
            <wp:docPr id="7" name="图表 13"/>
            <wp:cNvGraphicFramePr>
              <a:graphicFrameLocks noChangeAspect="0"/>
            </wp:cNvGraphicFramePr>
            <a:graphic>
              <a:graphicData uri="http://schemas.openxmlformats.org/drawingml/2006/picture">
                <pic:pic>
                  <pic:nvPicPr>
                    <pic:cNvPr id="9" name="图表 13 9"/>
                    <pic:cNvPicPr/>
                  </pic:nvPicPr>
                  <pic:blipFill>
                    <a:blip r:embed="rId4"/>
                    <a:stretch>
                      <a:fillRect/>
                    </a:stretch>
                  </pic:blipFill>
                  <pic:spPr>
                    <a:xfrm rot="0">
                      <a:off x="0" y="0"/>
                      <a:ext cx="5267325" cy="3075939"/>
                    </a:xfrm>
                    <a:prstGeom prst="rect"/>
                    <a:ln w="9525" cmpd="sng" cap="flat">
                      <a:solidFill>
                        <a:srgbClr val="000000"/>
                      </a:solidFill>
                      <a:prstDash val="solid"/>
                      <a:miter/>
                    </a:ln>
                  </pic:spPr>
                </pic:pic>
              </a:graphicData>
            </a:graphic>
          </wp:anchor>
        </w:drawing>
      </w: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黑体_GBK"/>
          <w:sz w:val="32"/>
          <w:szCs w:val="32"/>
        </w:rPr>
      </w:pPr>
      <w:r>
        <w:rPr>
          <w:rFonts w:eastAsia="方正黑体_GBK" w:hint="eastAsia"/>
          <w:sz w:val="32"/>
          <w:szCs w:val="32"/>
        </w:rPr>
        <w:t>三、关于马尾海关</w:t>
      </w:r>
      <w:r>
        <w:rPr>
          <w:rFonts w:eastAsia="方正黑体_GBK"/>
          <w:sz w:val="32"/>
          <w:szCs w:val="32"/>
        </w:rPr>
        <w:t>2024</w:t>
      </w:r>
      <w:r>
        <w:rPr>
          <w:rFonts w:eastAsia="方正黑体_GBK" w:hint="eastAsia"/>
          <w:sz w:val="32"/>
          <w:szCs w:val="32"/>
        </w:rPr>
        <w:t>年支出预算情况说明</w:t>
      </w:r>
    </w:p>
    <w:p>
      <w:pPr>
        <w:pStyle w:val="18"/>
        <w:spacing w:line="560" w:lineRule="exact"/>
        <w:ind w:firstLineChars="200" w:firstLine="640"/>
        <w:rPr>
          <w:rFonts w:eastAsia="方正仿宋_GBK" w:hint="eastAsia"/>
          <w:sz w:val="32"/>
          <w:szCs w:val="32"/>
        </w:rPr>
      </w:pPr>
      <w:r>
        <w:rPr>
          <w:rFonts w:eastAsia="方正仿宋_GBK" w:hint="eastAsia"/>
          <w:sz w:val="32"/>
          <w:szCs w:val="32"/>
        </w:rPr>
        <w:t>马尾海关</w:t>
      </w:r>
      <w:r>
        <w:rPr>
          <w:rFonts w:eastAsia="方正仿宋_GBK"/>
          <w:sz w:val="32"/>
          <w:szCs w:val="32"/>
        </w:rPr>
        <w:t>2024</w:t>
      </w:r>
      <w:r>
        <w:rPr>
          <w:rFonts w:eastAsia="方正仿宋_GBK" w:hint="eastAsia"/>
          <w:sz w:val="32"/>
          <w:szCs w:val="32"/>
        </w:rPr>
        <w:t>年支出预算5948.04万元，其中：基本支出5703.37万元，占94.43</w:t>
      </w:r>
      <w:r>
        <w:rPr>
          <w:rFonts w:eastAsia="方正仿宋_GBK"/>
          <w:sz w:val="32"/>
          <w:szCs w:val="32"/>
        </w:rPr>
        <w:t>%</w:t>
      </w:r>
      <w:r>
        <w:rPr>
          <w:rFonts w:eastAsia="方正仿宋_GBK" w:hint="eastAsia"/>
          <w:sz w:val="32"/>
          <w:szCs w:val="32"/>
        </w:rPr>
        <w:t>；项目支出244.67万元，占5.57</w:t>
      </w:r>
      <w:r>
        <w:rPr>
          <w:rFonts w:eastAsia="方正仿宋_GBK"/>
          <w:sz w:val="32"/>
          <w:szCs w:val="32"/>
        </w:rPr>
        <w:t>%</w:t>
      </w:r>
      <w:r>
        <w:rPr>
          <w:rFonts w:eastAsia="方正仿宋_GBK" w:hint="eastAsia"/>
          <w:sz w:val="32"/>
          <w:szCs w:val="32"/>
        </w:rPr>
        <w:t>。</w:t>
      </w: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r>
        <w:rPr>
          <w:rFonts w:eastAsia="方正仿宋_GBK"/>
          <w:sz w:val="32"/>
          <w:szCs w:val="32"/>
        </w:rPr>
        <w:drawing>
          <wp:anchor distT="0" distB="0" distL="114300" distR="114300" simplePos="0" relativeHeight="17" behindDoc="0" locked="0" layoutInCell="1" hidden="0" allowOverlap="1">
            <wp:simplePos x="0" y="0"/>
            <wp:positionH relativeFrom="column">
              <wp:posOffset>107949</wp:posOffset>
            </wp:positionH>
            <wp:positionV relativeFrom="paragraph">
              <wp:posOffset>205105</wp:posOffset>
            </wp:positionV>
            <wp:extent cx="5266690" cy="3076575"/>
            <wp:effectExtent l="0" t="0" r="0" b="0"/>
            <wp:wrapNone/>
            <wp:docPr id="10" name="图表 14"/>
            <wp:cNvGraphicFramePr>
              <a:graphicFrameLocks noChangeAspect="0"/>
            </wp:cNvGraphicFramePr>
            <a:graphic>
              <a:graphicData uri="http://schemas.openxmlformats.org/drawingml/2006/picture">
                <pic:pic>
                  <pic:nvPicPr>
                    <pic:cNvPr id="12" name="图表 14 12"/>
                    <pic:cNvPicPr/>
                  </pic:nvPicPr>
                  <pic:blipFill>
                    <a:blip r:embed="rId5"/>
                    <a:stretch>
                      <a:fillRect/>
                    </a:stretch>
                  </pic:blipFill>
                  <pic:spPr>
                    <a:xfrm rot="0">
                      <a:off x="0" y="0"/>
                      <a:ext cx="5266690" cy="3076575"/>
                    </a:xfrm>
                    <a:prstGeom prst="rect"/>
                    <a:ln w="9525" cmpd="sng" cap="flat">
                      <a:solidFill>
                        <a:srgbClr val="000000"/>
                      </a:solidFill>
                      <a:prstDash val="solid"/>
                      <a:miter/>
                    </a:ln>
                  </pic:spPr>
                </pic:pic>
              </a:graphicData>
            </a:graphic>
          </wp:anchor>
        </w:drawing>
      </w: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ind w:firstLineChars="200" w:firstLine="640"/>
        <w:rPr>
          <w:rFonts w:eastAsia="方正仿宋_GBK"/>
          <w:sz w:val="32"/>
          <w:szCs w:val="32"/>
        </w:rPr>
      </w:pPr>
    </w:p>
    <w:p>
      <w:pPr>
        <w:pStyle w:val="18"/>
        <w:spacing w:line="560" w:lineRule="exact"/>
        <w:rPr>
          <w:sz w:val="32"/>
          <w:szCs w:val="32"/>
        </w:rPr>
      </w:pPr>
    </w:p>
    <w:p>
      <w:pPr>
        <w:pStyle w:val="18"/>
        <w:spacing w:line="560" w:lineRule="exact"/>
        <w:ind w:firstLineChars="200" w:firstLine="640"/>
        <w:rPr>
          <w:rFonts w:eastAsia="方正黑体_GBK"/>
          <w:sz w:val="32"/>
          <w:szCs w:val="32"/>
        </w:rPr>
      </w:pPr>
      <w:r>
        <w:rPr>
          <w:rFonts w:eastAsia="方正黑体_GBK" w:hint="eastAsia"/>
          <w:sz w:val="32"/>
          <w:szCs w:val="32"/>
        </w:rPr>
        <w:t>四、关于马尾海关2024年财政拨款收支预算情况的总体说明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马尾海关2024年财政拨款收支总预算3737.66万元。收入全部为一般公共预算拨款，无政府性基金预算拨款和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包括：一般公共预算当年财政拨款收入3736.94万元、上年结转0.72万元。支出包括：一般公共服务支出2348.02万元、公共安全支出425.97万元、社会保障和就业支出380.43万元、卫生健康支出248.08万元、住房保障支出335.16万元。</w:t>
      </w: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drawing>
          <wp:anchor distT="0" distB="0" distL="114300" distR="114300" simplePos="0" relativeHeight="18" behindDoc="0" locked="0" layoutInCell="1" hidden="0" allowOverlap="1">
            <wp:simplePos x="0" y="0"/>
            <wp:positionH relativeFrom="column">
              <wp:posOffset>347041</wp:posOffset>
            </wp:positionH>
            <wp:positionV relativeFrom="paragraph">
              <wp:posOffset>49917</wp:posOffset>
            </wp:positionV>
            <wp:extent cx="4894855" cy="3816626"/>
            <wp:effectExtent l="0" t="0" r="0" b="0"/>
            <wp:wrapNone/>
            <wp:docPr id="13" name="图表 15"/>
            <wp:cNvGraphicFramePr>
              <a:graphicFrameLocks noChangeAspect="0"/>
            </wp:cNvGraphicFramePr>
            <a:graphic>
              <a:graphicData uri="http://schemas.openxmlformats.org/drawingml/2006/picture">
                <pic:pic>
                  <pic:nvPicPr>
                    <pic:cNvPr id="15" name="图表 15 15"/>
                    <pic:cNvPicPr/>
                  </pic:nvPicPr>
                  <pic:blipFill>
                    <a:blip r:embed="rId6"/>
                    <a:stretch>
                      <a:fillRect/>
                    </a:stretch>
                  </pic:blipFill>
                  <pic:spPr>
                    <a:xfrm rot="0">
                      <a:off x="0" y="0"/>
                      <a:ext cx="4894855" cy="3816626"/>
                    </a:xfrm>
                    <a:prstGeom prst="rect"/>
                    <a:ln w="9525" cmpd="sng" cap="flat">
                      <a:solidFill>
                        <a:srgbClr val="000000"/>
                      </a:solidFill>
                      <a:prstDash val="solid"/>
                      <a:miter/>
                    </a:ln>
                  </pic:spPr>
                </pic:pic>
              </a:graphicData>
            </a:graphic>
          </wp:anchor>
        </w:drawing>
      </w: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黑体_GBK" w:hAnsi="Times New Roman" w:hint="eastAsia"/>
          <w:sz w:val="32"/>
          <w:szCs w:val="32"/>
        </w:rPr>
      </w:pP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五、关于马尾海关2024年一般公共预算当年财政拨款情况说明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firstLineChars="200" w:firstLine="640"/>
        <w:rPr>
          <w:rFonts w:ascii="Times New Roman" w:hAnsi="Times New Roman"/>
          <w:szCs w:val="21"/>
        </w:rPr>
      </w:pPr>
      <w:r>
        <w:rPr>
          <w:rFonts w:ascii="Times New Roman" w:eastAsia="方正仿宋_GBK" w:hAnsi="Times New Roman" w:hint="eastAsia"/>
          <w:sz w:val="32"/>
          <w:szCs w:val="32"/>
        </w:rPr>
        <w:t>马尾海关</w:t>
      </w:r>
      <w:r>
        <w:rPr>
          <w:rFonts w:ascii="Times New Roman" w:eastAsia="方正仿宋_GBK" w:hAnsi="Times New Roman"/>
          <w:sz w:val="32"/>
          <w:szCs w:val="32"/>
        </w:rPr>
        <w:t>2024</w:t>
      </w:r>
      <w:r>
        <w:rPr>
          <w:rFonts w:ascii="Times New Roman" w:eastAsia="方正仿宋_GBK" w:hAnsi="Times New Roman" w:hint="eastAsia"/>
          <w:sz w:val="32"/>
          <w:szCs w:val="32"/>
        </w:rPr>
        <w:t>年一般公共预算当年财政拨款预算3736.94万元，比</w:t>
      </w:r>
      <w:r>
        <w:rPr>
          <w:rFonts w:ascii="Times New Roman" w:eastAsia="方正仿宋_GBK" w:hAnsi="Times New Roman"/>
          <w:sz w:val="32"/>
          <w:szCs w:val="32"/>
        </w:rPr>
        <w:t>202</w:t>
      </w:r>
      <w:r>
        <w:rPr>
          <w:rFonts w:ascii="Times New Roman" w:eastAsia="方正仿宋_GBK" w:hAnsi="Times New Roman" w:hint="eastAsia"/>
          <w:sz w:val="32"/>
          <w:szCs w:val="32"/>
        </w:rPr>
        <w:t>3年执行数减少164.98万元，减少</w:t>
      </w:r>
      <w:r>
        <w:rPr>
          <w:rFonts w:ascii="Times New Roman" w:eastAsia="方正仿宋_GBK" w:hAnsi="Times New Roman"/>
          <w:sz w:val="32"/>
          <w:szCs w:val="32"/>
        </w:rPr>
        <w:t>4.</w:t>
      </w:r>
      <w:r>
        <w:rPr>
          <w:rFonts w:ascii="Times New Roman" w:eastAsia="方正仿宋_GBK" w:hAnsi="Times New Roman" w:hint="eastAsia"/>
          <w:sz w:val="32"/>
          <w:szCs w:val="32"/>
        </w:rPr>
        <w:t>23</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2024</w:t>
      </w:r>
      <w:r>
        <w:rPr>
          <w:rFonts w:ascii="Times New Roman" w:eastAsia="方正仿宋_GBK" w:hAnsi="Times New Roman" w:hint="eastAsia"/>
          <w:sz w:val="32"/>
          <w:szCs w:val="32"/>
        </w:rPr>
        <w:t>年，按照党中央、国务院关于过紧日子的有关要求，全面加强各类资源统筹，优化支出结构，坚持钱要花到要处，坚持优先保障民生、重点保障刚性运转，精准保障海关改革发展,大力压减一般性支出，重点压减非急需非刚性支出。</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2024年部门预算中，一般公共预算当年财政拨款用于以下方面：一般公共服务（类）支出2347.98万元，占62.83%；公共安全（类）支出425.29万元，占11.38%；社会保障和就业（类）支出380.43万元，占10.18%；卫生健康（类）支出248.08万元，占6.64%；住房保障（类）支出335.16万元，占8.97%。</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drawing>
          <wp:anchor distT="0" distB="0" distL="85723" distR="85723" simplePos="0" relativeHeight="20" behindDoc="1" locked="0" layoutInCell="1" hidden="0" allowOverlap="1">
            <wp:simplePos x="0" y="0"/>
            <wp:positionH relativeFrom="column">
              <wp:posOffset>465445</wp:posOffset>
            </wp:positionH>
            <wp:positionV relativeFrom="paragraph">
              <wp:posOffset>343209</wp:posOffset>
            </wp:positionV>
            <wp:extent cx="4401833" cy="3003732"/>
            <wp:effectExtent l="0" t="0" r="0" b="0"/>
            <wp:wrapTopAndBottom/>
            <wp:docPr id="16" name="图片"/>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4401833" cy="3003732"/>
                    </a:xfrm>
                    <a:prstGeom prst="rect"/>
                    <a:noFill/>
                    <a:ln w="9525" cmpd="sng" cap="flat">
                      <a:noFill/>
                      <a:prstDash val="solid"/>
                      <a:miter/>
                    </a:ln>
                  </pic:spPr>
                </pic:pic>
              </a:graphicData>
            </a:graphic>
          </wp:anchor>
        </w:drawing>
      </w:r>
      <w:bookmarkStart w:id="1" w:name="_GoBack"/>
      <w:bookmarkEnd w:id="1"/>
    </w:p>
    <w:p>
      <w:pPr>
        <w:spacing w:line="560" w:lineRule="exact"/>
        <w:ind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1．一般公共服务支出（类）海关事务（款）2024年预算2347.98万元，比2023年执行数减少220.95万元，下降8.6%，其中：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（1）行政运行（项）2024年预算2163.35万元，比2023年执行数减少144.83万元，下降6.27%。主要是落实过紧日子要求，压减相关经费。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（2）缉私办案（项）2024年预算4.53万元，比2023年执行数减少46.47万元，下降91.12%。主要是落实过紧日子要求，压减相关经费。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（3）海关关务（项）2024年预算150.6万元，比2023年执行数增加30.4万元，增长25.29%。主要是海关资产及专用设备运维费支出增加。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（4）海关监管（项）2024年预算11万元，去年无该项目支出。主要是新增该项目预算用于保障业务现场购置相应专用设备。</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（5）检验检疫（项）2024年预算18.5万元，比2023年执行数减少71.05万元，下降79.34%。主要是因为防止境外疫情输入专项预算大幅减少。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2．公共安全支出（类）缉私警察（款）2024年预算425.29万元，比2023年执行数增加34.89万元，增长8.94%。</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3．社会保障和就业支出（类）行政事业单位养老支出（款）2024年预算380.43万元，比2023年执行数增加11.34万元，增长3.07%。其中：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（1）行政单位离退休（项）2024年预算3.87万元，比2023年执行数减少0.19万元，下降4.68%。主要是行政单位离退休经费支出减少。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（2）机关事业单位基本养老保险缴费支出（项）2024年预算240.75万元，比2023年执行数减少2.6万元，下降1.07%。主要是基本养老保险单位缴费经费减少。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（3）机关事业单位职业年金缴费支出（项）2024年预算135.81万元，比2023年执行数增加14.13万元，增长11.61%。主要是职业年金单位缴费经费增加。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4．卫生健康支出（类）行政事业单位医疗（款）2024年预算248.08万元，比2023年执行数增加6.76万元，增长2.8%。其中：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（1）行政单位医疗（项）2024年预算154.77万元，比2023年执行数增加24.35万元，增长18.67%。主要是行政单位医疗经费增加。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（2）公务员医疗补助（项）2024年预算90.2万元，比2023年执行数减少19.14万元，下降17.51%。主要是公务员医疗补助经费减少。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3</w:t>
      </w:r>
      <w:r>
        <w:rPr>
          <w:rFonts w:ascii="Times New Roman" w:eastAsia="方正仿宋_GBK" w:hAnsi="Times New Roman" w:hint="eastAsia"/>
          <w:sz w:val="32"/>
          <w:szCs w:val="32"/>
        </w:rPr>
        <w:t>）其他行政事业单位医疗支出（项）2024年</w:t>
      </w:r>
      <w:r>
        <w:rPr>
          <w:rFonts w:ascii="Times New Roman" w:eastAsia="方正仿宋_GBK" w:hAnsi="Times New Roman"/>
          <w:sz w:val="32"/>
          <w:szCs w:val="32"/>
        </w:rPr>
        <w:t>预算</w:t>
      </w:r>
      <w:r>
        <w:rPr>
          <w:rFonts w:ascii="Times New Roman" w:eastAsia="方正仿宋_GBK" w:hAnsi="Times New Roman" w:hint="eastAsia"/>
          <w:sz w:val="32"/>
          <w:szCs w:val="32"/>
        </w:rPr>
        <w:t>3.11万元</w:t>
      </w:r>
      <w:r>
        <w:rPr>
          <w:rFonts w:ascii="Times New Roman" w:eastAsia="方正仿宋_GBK" w:hAnsi="Times New Roman"/>
          <w:sz w:val="32"/>
          <w:szCs w:val="32"/>
        </w:rPr>
        <w:t>，比</w:t>
      </w:r>
      <w:r>
        <w:rPr>
          <w:rFonts w:ascii="Times New Roman" w:eastAsia="方正仿宋_GBK" w:hAnsi="Times New Roman" w:hint="eastAsia"/>
          <w:sz w:val="32"/>
          <w:szCs w:val="32"/>
        </w:rPr>
        <w:t>2023年</w:t>
      </w:r>
      <w:r>
        <w:rPr>
          <w:rFonts w:ascii="Times New Roman" w:eastAsia="方正仿宋_GBK" w:hAnsi="Times New Roman"/>
          <w:sz w:val="32"/>
          <w:szCs w:val="32"/>
        </w:rPr>
        <w:t>执行数增加</w:t>
      </w:r>
      <w:r>
        <w:rPr>
          <w:rFonts w:ascii="Times New Roman" w:eastAsia="方正仿宋_GBK" w:hAnsi="Times New Roman" w:hint="eastAsia"/>
          <w:sz w:val="32"/>
          <w:szCs w:val="32"/>
        </w:rPr>
        <w:t>1.55，增长99.36</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主要是工伤保险</w:t>
      </w:r>
      <w:r>
        <w:rPr>
          <w:rFonts w:ascii="Times New Roman" w:eastAsia="方正仿宋_GBK" w:hAnsi="Times New Roman" w:hint="eastAsia"/>
          <w:sz w:val="32"/>
          <w:szCs w:val="32"/>
        </w:rPr>
        <w:t>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9</w:t>
      </w:r>
      <w:r>
        <w:rPr>
          <w:rFonts w:ascii="Times New Roman" w:eastAsia="方正仿宋_GBK" w:hAnsi="Times New Roman" w:hint="eastAsia"/>
          <w:sz w:val="32"/>
          <w:szCs w:val="32"/>
        </w:rPr>
        <w:t>．住房保障支出（类）住房改革支出（款）2024年预算335.16万元，比2023年执行数增加2.99万元，增长0.9%。其中：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（1）住房公积金（项）2024年预算180万元，比2023年执行数增加15万元，增长9.09%。</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（2）购房补贴（项）2024年预算155.16万元，比2023年执行数减少12.01万元，下降7.18%。</w:t>
      </w:r>
    </w:p>
    <w:p>
      <w:pPr>
        <w:pStyle w:val="18"/>
        <w:spacing w:line="560" w:lineRule="exact"/>
        <w:ind w:firstLineChars="200" w:firstLine="640"/>
        <w:rPr>
          <w:rFonts w:eastAsia="方正黑体_GBK"/>
          <w:sz w:val="32"/>
          <w:szCs w:val="32"/>
        </w:rPr>
      </w:pPr>
      <w:r>
        <w:rPr>
          <w:rFonts w:eastAsia="方正黑体_GBK" w:hint="eastAsia"/>
          <w:sz w:val="32"/>
          <w:szCs w:val="32"/>
        </w:rPr>
        <w:t>六、关于马尾海关2024年一般公共预算基本支出情况说明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马尾海关2024年一般公共预算基本支出3492.31万元，其中：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2824.86万元，主要包括：基本工资、津贴补贴、奖金、机关事业单位基本养老保险缴费、职业年金缴费、职工基本医疗保险缴费、公务员医疗补助缴费、其他社会保障缴费、住房公积金、医疗费、其他工资福利支出、抚恤金、生活补助、医疗费补助、代缴社会保险费、其他对个人和家庭的补助；</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667.45万元，主要包括：办公费、印刷费、咨询费、手续费、水费、电费、邮电费、物业管理费、差旅费、维修（护）费、租赁费、会议费、培训费、公务接待费、专用材料费、劳务费、委托业务费、工会经费、福利费、公务用车运行维护费、其他交通费用、税金及附加费用、其他商品和服务支出、办公设备购置、信息网络及软件购置更新、无形资产购置、其他资本性支出。</w:t>
      </w:r>
    </w:p>
    <w:p>
      <w:pPr>
        <w:pStyle w:val="18"/>
        <w:spacing w:line="560" w:lineRule="exact"/>
        <w:ind w:firstLineChars="200" w:firstLine="640"/>
        <w:rPr>
          <w:rFonts w:eastAsia="方正黑体_GBK"/>
          <w:sz w:val="32"/>
          <w:szCs w:val="32"/>
        </w:rPr>
      </w:pPr>
      <w:r>
        <w:rPr>
          <w:rFonts w:eastAsia="方正黑体_GBK" w:hint="eastAsia"/>
          <w:sz w:val="32"/>
          <w:szCs w:val="32"/>
        </w:rPr>
        <w:t>七、关于马尾海关2024年“三公”经费预算情况说明</w:t>
      </w:r>
    </w:p>
    <w:p>
      <w:pPr>
        <w:spacing w:line="560" w:lineRule="exact"/>
        <w:ind w:firstLineChars="200" w:firstLine="640"/>
        <w:rPr>
          <w:sz w:val="32"/>
          <w:szCs w:val="32"/>
        </w:rPr>
      </w:pPr>
      <w:r>
        <w:rPr>
          <w:rFonts w:eastAsia="方正仿宋_GBK" w:hint="eastAsia"/>
          <w:sz w:val="32"/>
          <w:szCs w:val="32"/>
        </w:rPr>
        <w:t>马尾海关2024年“三公”经费预算数为54.79万元，与2023年预算数持平。其中：公务用车运行费54.2万元，与2023年预算数持平；公务接待费0.59万元，与2023年预算数持平。</w:t>
      </w:r>
    </w:p>
    <w:p>
      <w:pPr>
        <w:pStyle w:val="18"/>
        <w:spacing w:line="560" w:lineRule="exact"/>
        <w:ind w:firstLineChars="200" w:firstLine="640"/>
        <w:rPr>
          <w:rFonts w:eastAsia="方正黑体_GBK"/>
          <w:sz w:val="32"/>
          <w:szCs w:val="32"/>
        </w:rPr>
      </w:pPr>
      <w:r>
        <w:rPr>
          <w:rFonts w:eastAsia="方正黑体_GBK" w:hint="eastAsia"/>
          <w:sz w:val="32"/>
          <w:szCs w:val="32"/>
        </w:rPr>
        <w:t>八、关于马尾海关2024年政府性基金预算收支情况说明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马尾海关2024年无政府性基金预算收支。</w:t>
      </w:r>
    </w:p>
    <w:p>
      <w:pPr>
        <w:pStyle w:val="18"/>
        <w:spacing w:line="560" w:lineRule="exact"/>
        <w:ind w:firstLineChars="200" w:firstLine="640"/>
        <w:rPr>
          <w:rFonts w:eastAsia="方正黑体_GBK"/>
          <w:sz w:val="32"/>
          <w:szCs w:val="32"/>
        </w:rPr>
      </w:pPr>
      <w:r>
        <w:rPr>
          <w:rFonts w:eastAsia="方正黑体_GBK" w:hint="eastAsia"/>
          <w:sz w:val="32"/>
          <w:szCs w:val="32"/>
        </w:rPr>
        <w:t>九、关于马尾海关2024年国有资本经营预算收支情况说明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马尾海关2024年无国有资本经营预算收支。</w:t>
      </w:r>
    </w:p>
    <w:p>
      <w:pPr>
        <w:pStyle w:val="18"/>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spacing w:line="560" w:lineRule="exact"/>
        <w:ind w:firstLineChars="200" w:firstLine="640"/>
        <w:rPr>
          <w:rFonts w:ascii="Times New Roman" w:eastAsia="方正仿宋_GBK" w:hAnsi="Times New Roman"/>
          <w:sz w:val="32"/>
          <w:szCs w:val="32"/>
        </w:rPr>
      </w:pPr>
      <w:r>
        <w:rPr>
          <w:rFonts w:eastAsia="方正仿宋_GBK" w:hint="eastAsia"/>
          <w:sz w:val="32"/>
          <w:szCs w:val="32"/>
        </w:rPr>
        <w:t>2024年马尾海关机关运行经费财政拨款预</w:t>
      </w:r>
      <w:r>
        <w:rPr>
          <w:rFonts w:eastAsia="方正仿宋_GBK" w:hint="eastAsia"/>
          <w:color w:val="000000"/>
          <w:sz w:val="32"/>
          <w:szCs w:val="32"/>
        </w:rPr>
        <w:t>算667.45</w:t>
      </w:r>
      <w:r>
        <w:rPr>
          <w:rFonts w:eastAsia="方正仿宋_GBK" w:hint="eastAsia"/>
          <w:sz w:val="32"/>
          <w:szCs w:val="32"/>
        </w:rPr>
        <w:t>万元，较2023年执行数</w:t>
      </w:r>
      <w:r>
        <w:rPr>
          <w:rFonts w:eastAsia="方正仿宋_GBK" w:hint="eastAsia"/>
          <w:color w:val="000000"/>
          <w:sz w:val="32"/>
          <w:szCs w:val="32"/>
        </w:rPr>
        <w:t>减少126.27万元，减少15.91%。</w:t>
      </w:r>
      <w:r>
        <w:rPr>
          <w:rFonts w:eastAsia="方正仿宋_GBK" w:hint="eastAsia"/>
          <w:sz w:val="32"/>
          <w:szCs w:val="32"/>
        </w:rPr>
        <w:t>主要是本年度无定向预算安排。</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2024年马尾海关政府采购预算总额9万元，其中：政府采购货物预算9万元。</w:t>
      </w:r>
    </w:p>
    <w:p>
      <w:pPr>
        <w:spacing w:line="560" w:lineRule="exact"/>
        <w:ind w:firstLine="640"/>
        <w:jc w:val="left"/>
        <w:rPr>
          <w:rFonts w:ascii="Times New Roman" w:eastAsia="方正楷体_GBK" w:hAnsi="Times New Roman"/>
          <w:b/>
          <w:bCs/>
          <w:sz w:val="32"/>
          <w:szCs w:val="32"/>
        </w:rPr>
      </w:pPr>
      <w:r>
        <w:rPr>
          <w:rFonts w:ascii="Times New Roman" w:eastAsia="方正仿宋_GBK" w:hAnsi="Times New Roman" w:hint="eastAsia"/>
          <w:sz w:val="32"/>
          <w:szCs w:val="32"/>
        </w:rPr>
        <w:t xml:space="preserve">    </w:t>
      </w:r>
      <w:r>
        <w:rPr>
          <w:rFonts w:ascii="Times New Roman" w:eastAsia="方正楷体_GBK" w:hAnsi="Times New Roman" w:hint="eastAsia"/>
          <w:b/>
          <w:bCs/>
          <w:sz w:val="32"/>
          <w:szCs w:val="32"/>
        </w:rPr>
        <w:t>（三）国有资产占有使用情况。</w:t>
      </w:r>
    </w:p>
    <w:p>
      <w:pPr>
        <w:spacing w:line="560" w:lineRule="exact"/>
        <w:ind w:firstLineChars="200" w:firstLine="640"/>
        <w:rPr>
          <w:rFonts w:eastAsia="方正仿宋_GBK"/>
          <w:color w:val="000000"/>
          <w:sz w:val="32"/>
          <w:szCs w:val="32"/>
        </w:rPr>
      </w:pPr>
      <w:r>
        <w:rPr>
          <w:rFonts w:eastAsia="方正仿宋_GBK" w:hint="eastAsia"/>
          <w:color w:val="000000"/>
          <w:sz w:val="32"/>
          <w:szCs w:val="32"/>
        </w:rPr>
        <w:t>马尾海关共有车辆15辆，其中机要通信用车2辆、应急保障用车1辆、执法执勤用车12辆。单位价值100万元以上的专用设备4台（套）。</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2024年对马尾海关一般公共预算拨款项目全面实施绩效目标管理，</w:t>
      </w:r>
      <w:r>
        <w:rPr>
          <w:rFonts w:eastAsia="方正仿宋_GBK" w:hint="eastAsia"/>
          <w:color w:val="000000"/>
          <w:sz w:val="32"/>
          <w:szCs w:val="32"/>
        </w:rPr>
        <w:t>涉及一般公共预算当年拨款244.63万元，一级项目5个，二级项目9个。</w:t>
      </w: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hint="eastAsia"/>
          <w:b/>
          <w:sz w:val="84"/>
          <w:szCs w:val="84"/>
        </w:rPr>
      </w:pPr>
    </w:p>
    <w:p>
      <w:pPr>
        <w:jc w:val="center"/>
        <w:rPr>
          <w:rFonts w:ascii="Times New Roman" w:hAnsi="Times New Roman" w:hint="eastAsia"/>
          <w:b/>
          <w:sz w:val="84"/>
          <w:szCs w:val="84"/>
        </w:rPr>
      </w:pPr>
    </w:p>
    <w:p>
      <w:pPr>
        <w:jc w:val="center"/>
        <w:rPr>
          <w:rFonts w:ascii="Times New Roman" w:hAnsi="Times New Roman" w:hint="eastAsia"/>
          <w:b/>
          <w:sz w:val="84"/>
          <w:szCs w:val="84"/>
        </w:rPr>
      </w:pP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：指对外国政府（地区）提供的各种援助和技术合作支出。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（三）离退休人员管理机构（项）</w:t>
      </w:r>
      <w:r>
        <w:rPr>
          <w:rFonts w:ascii="Times New Roman" w:eastAsia="方正仿宋_GBK" w:hAnsi="Times New Roman" w:hint="eastAsia"/>
          <w:sz w:val="32"/>
          <w:szCs w:val="32"/>
        </w:rPr>
        <w:t>：反映海关系统为离退休人员提供管理服务的离退休管理机构的支出。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center"/>
        <w:rPr>
          <w:rFonts w:ascii="Times New Roman" w:hAnsi="Times New Roman"/>
          <w:b/>
          <w:sz w:val="84"/>
          <w:szCs w:val="84"/>
        </w:rPr>
      </w:pPr>
      <w:r>
        <w:rPr>
          <w:rFonts w:ascii="Times New Roman" w:hAnsi="Times New Roman" w:hint="eastAsia"/>
          <w:b/>
          <w:sz w:val="84"/>
          <w:szCs w:val="84"/>
        </w:rPr>
        <w:t>第五部分</w:t>
      </w:r>
    </w:p>
    <w:p>
      <w:pPr>
        <w:jc w:val="center"/>
        <w:rPr>
          <w:rFonts w:ascii="Times New Roman" w:hAnsi="Times New Roman"/>
          <w:b/>
          <w:sz w:val="84"/>
          <w:szCs w:val="84"/>
        </w:rPr>
      </w:pPr>
      <w:r>
        <w:rPr>
          <w:rFonts w:ascii="Times New Roman" w:hAnsi="Times New Roman" w:hint="eastAsia"/>
          <w:b/>
          <w:sz w:val="84"/>
          <w:szCs w:val="84"/>
        </w:rPr>
        <w:t>附件</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center"/>
        <w:tblW w:w="1148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486"/>
      </w:tblGrid>
      <w:tr>
        <w:trPr>
          <w:trHeight w:val="499"/>
        </w:trPr>
        <w:tc>
          <w:tcPr>
            <w:tcW w:w="11486" w:type="dxa"/>
            <w:tcBorders>
              <w:top w:val="nil"/>
              <w:left w:val="nil"/>
              <w:bottom w:val="nil"/>
              <w:right w:val="nil"/>
            </w:tcBorders>
            <w:shd w:val="clear" w:color="auto" w:fill="auto"/>
          </w:tcPr>
          <w:tbl>
            <w:tblPr>
              <w:jc w:val="left"/>
              <w:tblInd w:w="785" w:type="dxa"/>
              <w:tblW w:w="976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7"/>
              <w:gridCol w:w="970"/>
              <w:gridCol w:w="252"/>
              <w:gridCol w:w="1873"/>
              <w:gridCol w:w="709"/>
              <w:gridCol w:w="2268"/>
              <w:gridCol w:w="143"/>
              <w:gridCol w:w="1700"/>
              <w:gridCol w:w="142"/>
              <w:gridCol w:w="1275"/>
            </w:tblGrid>
            <w:tr>
              <w:trPr>
                <w:trHeight w:val="702"/>
              </w:trPr>
              <w:tc>
                <w:tcPr>
                  <w:tcW w:w="9769" w:type="dxa"/>
                  <w:gridSpan w:val="10"/>
                  <w:tcBorders>
                    <w:top w:val="nil"/>
                    <w:left w:val="nil"/>
                    <w:bottom w:val="nil"/>
                    <w:right w:val="nil"/>
                  </w:tcBorders>
                  <w:shd w:val="clear" w:color="auto" w:fill="auto"/>
                  <w:vAlign w:val="center"/>
                </w:tcPr>
                <w:p>
                  <w:pPr>
                    <w:widowControl/>
                    <w:jc w:val="center"/>
                    <w:rPr>
                      <w:rFonts w:ascii="黑体" w:eastAsia="黑体" w:cs="宋体"/>
                      <w:kern w:val="0"/>
                      <w:sz w:val="32"/>
                      <w:szCs w:val="32"/>
                    </w:rPr>
                  </w:pPr>
                  <w:bookmarkStart w:id="2" w:name="RANGE!A1:G15"/>
                  <w:r>
                    <w:rPr>
                      <w:rFonts w:ascii="黑体" w:eastAsia="黑体" w:cs="宋体" w:hint="eastAsia"/>
                      <w:kern w:val="0"/>
                      <w:sz w:val="32"/>
                      <w:szCs w:val="32"/>
                    </w:rPr>
                    <w:t>项目绩效目标表</w:t>
                  </w:r>
                  <w:bookmarkEnd w:id="2"/>
                </w:p>
              </w:tc>
            </w:tr>
            <w:tr>
              <w:trPr>
                <w:trHeight w:val="499"/>
              </w:trPr>
              <w:tc>
                <w:tcPr>
                  <w:tcW w:w="9769" w:type="dxa"/>
                  <w:gridSpan w:val="10"/>
                  <w:tcBorders>
                    <w:top w:val="nil"/>
                    <w:left w:val="nil"/>
                    <w:bottom w:val="nil"/>
                    <w:right w:val="nil"/>
                  </w:tcBorders>
                  <w:shd w:val="clear" w:color="auto" w:fill="auto"/>
                </w:tcPr>
                <w:p>
                  <w:pPr>
                    <w:widowControl/>
                    <w:jc w:val="center"/>
                    <w:rPr>
                      <w:rFonts w:ascii="宋体" w:cs="宋体"/>
                      <w:kern w:val="0"/>
                      <w:sz w:val="24"/>
                      <w:szCs w:val="24"/>
                    </w:rPr>
                  </w:pPr>
                  <w:r>
                    <w:rPr>
                      <w:rFonts w:ascii="宋体" w:cs="宋体" w:hint="eastAsia"/>
                      <w:kern w:val="0"/>
                      <w:sz w:val="24"/>
                      <w:szCs w:val="24"/>
                    </w:rPr>
                    <w:t>（2024年度）</w:t>
                  </w:r>
                </w:p>
              </w:tc>
            </w:tr>
            <w:tr>
              <w:trPr>
                <w:trHeight w:val="439"/>
              </w:trPr>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项目名称</w:t>
                  </w:r>
                </w:p>
              </w:tc>
              <w:tc>
                <w:tcPr>
                  <w:tcW w:w="8362" w:type="dxa"/>
                  <w:gridSpan w:val="8"/>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海关缉私办案费</w:t>
                  </w:r>
                </w:p>
              </w:tc>
            </w:tr>
            <w:tr>
              <w:trPr>
                <w:trHeight w:val="439"/>
              </w:trPr>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主管部门及代码</w:t>
                  </w:r>
                </w:p>
              </w:tc>
              <w:tc>
                <w:tcPr>
                  <w:tcW w:w="2834" w:type="dxa"/>
                  <w:gridSpan w:val="3"/>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[167]海关总署</w:t>
                  </w:r>
                </w:p>
              </w:tc>
              <w:tc>
                <w:tcPr>
                  <w:tcW w:w="2411" w:type="dxa"/>
                  <w:gridSpan w:val="2"/>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实施单位</w:t>
                  </w:r>
                </w:p>
              </w:tc>
              <w:tc>
                <w:tcPr>
                  <w:tcW w:w="3117"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中华人民共和国马尾海关</w:t>
                  </w:r>
                </w:p>
              </w:tc>
            </w:tr>
            <w:tr>
              <w:trPr>
                <w:trHeight w:val="439"/>
              </w:trPr>
              <w:tc>
                <w:tcPr>
                  <w:tcW w:w="140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rPr>
                  </w:pPr>
                  <w:r>
                    <w:rPr>
                      <w:rFonts w:ascii="宋体" w:cs="宋体" w:hint="eastAsia"/>
                      <w:kern w:val="0"/>
                      <w:sz w:val="22"/>
                    </w:rPr>
                    <w:t>项目资金</w:t>
                    <w:br/>
                    <w:t>（万元）</w:t>
                  </w:r>
                </w:p>
              </w:tc>
              <w:tc>
                <w:tcPr>
                  <w:tcW w:w="2834"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left"/>
                    <w:rPr>
                      <w:rFonts w:ascii="宋体" w:cs="宋体"/>
                      <w:kern w:val="0"/>
                      <w:sz w:val="22"/>
                    </w:rPr>
                  </w:pPr>
                  <w:r>
                    <w:rPr>
                      <w:rFonts w:ascii="宋体" w:cs="宋体" w:hint="eastAsia"/>
                      <w:kern w:val="0"/>
                      <w:sz w:val="22"/>
                    </w:rPr>
                    <w:t xml:space="preserve"> 年度资金总额：</w:t>
                  </w:r>
                </w:p>
              </w:tc>
              <w:tc>
                <w:tcPr>
                  <w:tcW w:w="4253" w:type="dxa"/>
                  <w:gridSpan w:val="4"/>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4.53 </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rPr>
                  </w:pPr>
                  <w:r>
                    <w:rPr>
                      <w:rFonts w:ascii="宋体" w:cs="宋体" w:hint="eastAsia"/>
                      <w:kern w:val="0"/>
                      <w:sz w:val="22"/>
                    </w:rPr>
                    <w:t>执行率</w:t>
                    <w:br/>
                    <w:t>分值（10）</w:t>
                  </w:r>
                </w:p>
              </w:tc>
            </w:tr>
            <w:tr>
              <w:trPr>
                <w:trHeight w:val="439"/>
              </w:trPr>
              <w:tc>
                <w:tcPr>
                  <w:tcW w:w="1407" w:type="dxa"/>
                  <w:gridSpan w:val="2"/>
                  <w:vMerge/>
                  <w:tcBorders>
                    <w:top w:val="single" w:sz="4" w:space="0" w:color="auto"/>
                    <w:left w:val="single" w:sz="4" w:space="0" w:color="auto"/>
                    <w:bottom w:val="single" w:sz="4" w:space="0" w:color="000000"/>
                    <w:right w:val="single" w:sz="4" w:space="0" w:color="000000"/>
                  </w:tcBorders>
                  <w:vAlign w:val="center"/>
                </w:tcPr>
                <w:p/>
              </w:tc>
              <w:tc>
                <w:tcPr>
                  <w:tcW w:w="2834"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其中：财政拨款</w:t>
                  </w:r>
                </w:p>
              </w:tc>
              <w:tc>
                <w:tcPr>
                  <w:tcW w:w="4253" w:type="dxa"/>
                  <w:gridSpan w:val="4"/>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4.53 </w:t>
                  </w:r>
                </w:p>
              </w:tc>
              <w:tc>
                <w:tcPr>
                  <w:tcW w:w="1275" w:type="dxa"/>
                  <w:vMerge/>
                  <w:tcBorders>
                    <w:top w:val="nil"/>
                    <w:left w:val="single" w:sz="4" w:space="0" w:color="auto"/>
                    <w:bottom w:val="single" w:sz="4" w:space="0" w:color="000000"/>
                    <w:right w:val="single" w:sz="4" w:space="0" w:color="auto"/>
                  </w:tcBorders>
                  <w:vAlign w:val="center"/>
                </w:tcPr>
                <w:p/>
              </w:tc>
            </w:tr>
            <w:tr>
              <w:trPr>
                <w:trHeight w:val="439"/>
              </w:trPr>
              <w:tc>
                <w:tcPr>
                  <w:tcW w:w="1407" w:type="dxa"/>
                  <w:gridSpan w:val="2"/>
                  <w:vMerge/>
                  <w:tcBorders>
                    <w:top w:val="single" w:sz="4" w:space="0" w:color="auto"/>
                    <w:left w:val="single" w:sz="4" w:space="0" w:color="auto"/>
                    <w:bottom w:val="single" w:sz="4" w:space="0" w:color="000000"/>
                    <w:right w:val="single" w:sz="4" w:space="0" w:color="000000"/>
                  </w:tcBorders>
                  <w:vAlign w:val="center"/>
                </w:tcPr>
                <w:p/>
              </w:tc>
              <w:tc>
                <w:tcPr>
                  <w:tcW w:w="2834"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上年结转</w:t>
                  </w:r>
                </w:p>
              </w:tc>
              <w:tc>
                <w:tcPr>
                  <w:tcW w:w="4253" w:type="dxa"/>
                  <w:gridSpan w:val="4"/>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   </w:t>
                  </w:r>
                </w:p>
              </w:tc>
              <w:tc>
                <w:tcPr>
                  <w:tcW w:w="1275" w:type="dxa"/>
                  <w:vMerge/>
                  <w:tcBorders>
                    <w:top w:val="nil"/>
                    <w:left w:val="single" w:sz="4" w:space="0" w:color="auto"/>
                    <w:bottom w:val="single" w:sz="4" w:space="0" w:color="000000"/>
                    <w:right w:val="single" w:sz="4" w:space="0" w:color="auto"/>
                  </w:tcBorders>
                  <w:vAlign w:val="center"/>
                </w:tcPr>
                <w:p/>
              </w:tc>
            </w:tr>
            <w:tr>
              <w:trPr>
                <w:trHeight w:val="439"/>
              </w:trPr>
              <w:tc>
                <w:tcPr>
                  <w:tcW w:w="1407" w:type="dxa"/>
                  <w:gridSpan w:val="2"/>
                  <w:vMerge/>
                  <w:tcBorders>
                    <w:top w:val="single" w:sz="4" w:space="0" w:color="auto"/>
                    <w:left w:val="single" w:sz="4" w:space="0" w:color="auto"/>
                    <w:bottom w:val="single" w:sz="4" w:space="0" w:color="000000"/>
                    <w:right w:val="single" w:sz="4" w:space="0" w:color="000000"/>
                  </w:tcBorders>
                  <w:vAlign w:val="center"/>
                </w:tcPr>
                <w:p/>
              </w:tc>
              <w:tc>
                <w:tcPr>
                  <w:tcW w:w="2834"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其他资金</w:t>
                  </w:r>
                </w:p>
              </w:tc>
              <w:tc>
                <w:tcPr>
                  <w:tcW w:w="4253" w:type="dxa"/>
                  <w:gridSpan w:val="4"/>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   </w:t>
                  </w:r>
                </w:p>
              </w:tc>
              <w:tc>
                <w:tcPr>
                  <w:tcW w:w="1275" w:type="dxa"/>
                  <w:vMerge/>
                  <w:tcBorders>
                    <w:top w:val="nil"/>
                    <w:left w:val="single" w:sz="4" w:space="0" w:color="auto"/>
                    <w:bottom w:val="single" w:sz="4" w:space="0" w:color="000000"/>
                    <w:right w:val="single" w:sz="4" w:space="0" w:color="auto"/>
                  </w:tcBorders>
                  <w:vAlign w:val="center"/>
                </w:tcPr>
                <w:p/>
              </w:tc>
            </w:tr>
            <w:tr>
              <w:trPr>
                <w:trHeight w:val="1782"/>
              </w:trPr>
              <w:tc>
                <w:tcPr>
                  <w:tcW w:w="437"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年</w:t>
                    <w:br/>
                    <w:t>度</w:t>
                    <w:br/>
                    <w:t>总</w:t>
                    <w:br/>
                    <w:t>体</w:t>
                    <w:br/>
                    <w:t>目</w:t>
                    <w:br/>
                    <w:t>标</w:t>
                  </w:r>
                </w:p>
              </w:tc>
              <w:tc>
                <w:tcPr>
                  <w:tcW w:w="9332" w:type="dxa"/>
                  <w:gridSpan w:val="9"/>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目标1：保障马尾海关关区打击走私等工作正常开展，把好国门安全关；</w:t>
                    <w:br/>
                    <w:t>目标2：深化综合治理，拓展合作渠道，进一步做好缉私大要案侦办工作，维持打击走私高压态势，有效震慑走私犯罪行为。</w:t>
                    <w:br/>
                    <w:t>目标3：通过购买仓储（保管）等服务，保障海关开展缉私工作的高效开展；</w:t>
                    <w:br/>
                    <w:t>目标4：通过开展和缉私相关的能力提升活动，提高精准查私能力，确保海关缉私工作正常开展,进一步维护社会稳定，保障国家安全。</w:t>
                  </w:r>
                </w:p>
              </w:tc>
            </w:tr>
            <w:tr>
              <w:trPr>
                <w:trHeight w:val="600"/>
              </w:trPr>
              <w:tc>
                <w:tcPr>
                  <w:tcW w:w="43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绩</w:t>
                    <w:br/>
                    <w:t>效</w:t>
                    <w:br/>
                    <w:t>指</w:t>
                    <w:br/>
                    <w:t>标</w:t>
                  </w:r>
                </w:p>
              </w:tc>
              <w:tc>
                <w:tcPr>
                  <w:tcW w:w="1222"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一级指标</w:t>
                  </w:r>
                </w:p>
              </w:tc>
              <w:tc>
                <w:tcPr>
                  <w:tcW w:w="187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二级指标</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三级指标</w:t>
                  </w:r>
                </w:p>
              </w:tc>
              <w:tc>
                <w:tcPr>
                  <w:tcW w:w="1843"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指标值</w:t>
                  </w:r>
                </w:p>
              </w:tc>
              <w:tc>
                <w:tcPr>
                  <w:tcW w:w="1417"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分值权重</w:t>
                    <w:br/>
                    <w:t>（90）</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222" w:type="dxa"/>
                  <w:gridSpan w:val="2"/>
                  <w:vMerge w:val="restart"/>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产出指标</w:t>
                  </w:r>
                </w:p>
              </w:tc>
              <w:tc>
                <w:tcPr>
                  <w:tcW w:w="1873"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数量指标</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保障关警员数量（人）</w:t>
                  </w:r>
                </w:p>
              </w:tc>
              <w:tc>
                <w:tcPr>
                  <w:tcW w:w="1843"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≥18个</w:t>
                  </w:r>
                </w:p>
              </w:tc>
              <w:tc>
                <w:tcPr>
                  <w:tcW w:w="1417"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15</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222" w:type="dxa"/>
                  <w:gridSpan w:val="2"/>
                  <w:vMerge/>
                  <w:tcBorders>
                    <w:top w:val="nil"/>
                    <w:left w:val="nil"/>
                    <w:bottom w:val="single" w:sz="4" w:space="0" w:color="auto"/>
                    <w:right w:val="single" w:sz="4" w:space="0" w:color="auto"/>
                  </w:tcBorders>
                  <w:vAlign w:val="center"/>
                </w:tcPr>
                <w:p/>
              </w:tc>
              <w:tc>
                <w:tcPr>
                  <w:tcW w:w="1873" w:type="dxa"/>
                  <w:vMerge/>
                  <w:tcBorders>
                    <w:top w:val="nil"/>
                    <w:left w:val="single" w:sz="4" w:space="0" w:color="auto"/>
                    <w:bottom w:val="single" w:sz="4" w:space="0" w:color="auto"/>
                    <w:right w:val="single" w:sz="4" w:space="0" w:color="auto"/>
                  </w:tcBorders>
                  <w:vAlign w:val="center"/>
                </w:tcP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保障缉私机构数量（个）</w:t>
                  </w:r>
                </w:p>
              </w:tc>
              <w:tc>
                <w:tcPr>
                  <w:tcW w:w="1843"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≥1个</w:t>
                  </w:r>
                </w:p>
              </w:tc>
              <w:tc>
                <w:tcPr>
                  <w:tcW w:w="1417"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15</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222" w:type="dxa"/>
                  <w:gridSpan w:val="2"/>
                  <w:vMerge/>
                  <w:tcBorders>
                    <w:top w:val="nil"/>
                    <w:left w:val="nil"/>
                    <w:bottom w:val="single" w:sz="4" w:space="0" w:color="auto"/>
                    <w:right w:val="single" w:sz="4" w:space="0" w:color="auto"/>
                  </w:tcBorders>
                  <w:vAlign w:val="center"/>
                </w:tcPr>
                <w:p/>
              </w:tc>
              <w:tc>
                <w:tcPr>
                  <w:tcW w:w="187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质量指标</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挂牌案件平均办结率（%）</w:t>
                  </w:r>
                </w:p>
              </w:tc>
              <w:tc>
                <w:tcPr>
                  <w:tcW w:w="1843"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100%</w:t>
                  </w:r>
                </w:p>
              </w:tc>
              <w:tc>
                <w:tcPr>
                  <w:tcW w:w="1417"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20</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222" w:type="dxa"/>
                  <w:gridSpan w:val="2"/>
                  <w:vMerge w:val="restart"/>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效益指标</w:t>
                  </w:r>
                </w:p>
              </w:tc>
              <w:tc>
                <w:tcPr>
                  <w:tcW w:w="187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社会效益指标</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打击毒品、武器、普通货物、固体废物等走私效果</w:t>
                  </w:r>
                </w:p>
              </w:tc>
              <w:tc>
                <w:tcPr>
                  <w:tcW w:w="1843"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有效</w:t>
                  </w:r>
                </w:p>
              </w:tc>
              <w:tc>
                <w:tcPr>
                  <w:tcW w:w="1417"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20</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222" w:type="dxa"/>
                  <w:gridSpan w:val="2"/>
                  <w:vMerge/>
                  <w:tcBorders>
                    <w:top w:val="nil"/>
                    <w:left w:val="nil"/>
                    <w:bottom w:val="single" w:sz="4" w:space="0" w:color="auto"/>
                    <w:right w:val="single" w:sz="4" w:space="0" w:color="auto"/>
                  </w:tcBorders>
                  <w:vAlign w:val="center"/>
                </w:tcPr>
                <w:p/>
              </w:tc>
              <w:tc>
                <w:tcPr>
                  <w:tcW w:w="187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生态效益指标</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打击固废走私</w:t>
                  </w:r>
                </w:p>
              </w:tc>
              <w:tc>
                <w:tcPr>
                  <w:tcW w:w="1843"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有效</w:t>
                  </w:r>
                </w:p>
              </w:tc>
              <w:tc>
                <w:tcPr>
                  <w:tcW w:w="1417"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20</w:t>
                  </w:r>
                </w:p>
              </w:tc>
            </w:tr>
          </w:tbl>
          <w:p>
            <w:pPr>
              <w:widowControl/>
              <w:jc w:val="center"/>
              <w:textAlignment w:val="top"/>
              <w:rPr>
                <w:rFonts w:ascii="宋体" w:cs="宋体"/>
                <w:color w:val="000000"/>
                <w:kern w:val="0"/>
                <w:sz w:val="24"/>
                <w:szCs w:val="24"/>
              </w:rPr>
            </w:pPr>
          </w:p>
          <w:p>
            <w:pPr>
              <w:widowControl/>
              <w:jc w:val="center"/>
              <w:textAlignment w:val="top"/>
              <w:rPr>
                <w:rFonts w:ascii="宋体" w:cs="宋体"/>
                <w:color w:val="000000"/>
                <w:sz w:val="24"/>
                <w:szCs w:val="24"/>
              </w:rPr>
            </w:pPr>
          </w:p>
        </w:tc>
      </w:tr>
    </w:tbl>
    <w:p>
      <w:pPr>
        <w:jc w:val="left"/>
        <w:rPr>
          <w:rFonts w:ascii="Times New Roman" w:eastAsia="方正仿宋_GBK" w:hAnsi="Times New Roman"/>
          <w:sz w:val="32"/>
          <w:szCs w:val="32"/>
        </w:rPr>
      </w:pPr>
    </w:p>
    <w:p>
      <w:pPr>
        <w:widowControl/>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Ind w:w="91" w:type="dxa"/>
        <w:tblW w:w="91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140"/>
        <w:gridCol w:w="1720"/>
        <w:gridCol w:w="1260"/>
        <w:gridCol w:w="1660"/>
        <w:gridCol w:w="1660"/>
        <w:gridCol w:w="1180"/>
      </w:tblGrid>
      <w:tr>
        <w:trPr>
          <w:trHeight w:val="702"/>
        </w:trPr>
        <w:tc>
          <w:tcPr>
            <w:tcW w:w="9180"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项目绩效目标表</w:t>
            </w:r>
          </w:p>
        </w:tc>
      </w:tr>
      <w:tr>
        <w:trPr>
          <w:trHeight w:val="499"/>
        </w:trPr>
        <w:tc>
          <w:tcPr>
            <w:tcW w:w="9180" w:type="dxa"/>
            <w:gridSpan w:val="7"/>
            <w:tcBorders>
              <w:top w:val="nil"/>
              <w:left w:val="nil"/>
              <w:bottom w:val="nil"/>
              <w:right w:val="nil"/>
            </w:tcBorders>
            <w:shd w:val="clear" w:color="auto" w:fill="auto"/>
          </w:tcPr>
          <w:p>
            <w:pPr>
              <w:widowControl/>
              <w:jc w:val="center"/>
              <w:rPr>
                <w:rFonts w:ascii="宋体" w:cs="宋体"/>
                <w:kern w:val="0"/>
                <w:sz w:val="24"/>
                <w:szCs w:val="24"/>
              </w:rPr>
            </w:pPr>
            <w:r>
              <w:rPr>
                <w:rFonts w:ascii="宋体" w:cs="宋体" w:hint="eastAsia"/>
                <w:kern w:val="0"/>
                <w:sz w:val="24"/>
                <w:szCs w:val="24"/>
              </w:rPr>
              <w:t>（2024年度）</w:t>
            </w:r>
          </w:p>
        </w:tc>
      </w:tr>
      <w:tr>
        <w:trPr>
          <w:trHeight w:val="439"/>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项目名称</w:t>
            </w:r>
          </w:p>
        </w:tc>
        <w:tc>
          <w:tcPr>
            <w:tcW w:w="7480"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海关资产及专用设备运行维护费</w:t>
            </w:r>
          </w:p>
        </w:tc>
      </w:tr>
      <w:tr>
        <w:trPr>
          <w:trHeight w:val="439"/>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主管部门及代码</w:t>
            </w:r>
          </w:p>
        </w:tc>
        <w:tc>
          <w:tcPr>
            <w:tcW w:w="298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[167]海关总署</w:t>
            </w:r>
          </w:p>
        </w:tc>
        <w:tc>
          <w:tcPr>
            <w:tcW w:w="166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实施单位</w:t>
            </w:r>
          </w:p>
        </w:tc>
        <w:tc>
          <w:tcPr>
            <w:tcW w:w="2840"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中华人民共和国马尾海关</w:t>
            </w:r>
          </w:p>
        </w:tc>
      </w:tr>
      <w:tr>
        <w:trPr>
          <w:trHeight w:val="439"/>
        </w:trPr>
        <w:tc>
          <w:tcPr>
            <w:tcW w:w="17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rPr>
            </w:pPr>
            <w:r>
              <w:rPr>
                <w:rFonts w:ascii="宋体" w:cs="宋体" w:hint="eastAsia"/>
                <w:kern w:val="0"/>
                <w:sz w:val="22"/>
              </w:rPr>
              <w:t>项目资金</w:t>
              <w:br/>
              <w:t>（万元）</w:t>
            </w:r>
          </w:p>
        </w:tc>
        <w:tc>
          <w:tcPr>
            <w:tcW w:w="298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left"/>
              <w:rPr>
                <w:rFonts w:ascii="宋体" w:cs="宋体"/>
                <w:kern w:val="0"/>
                <w:sz w:val="22"/>
              </w:rPr>
            </w:pPr>
            <w:r>
              <w:rPr>
                <w:rFonts w:ascii="宋体" w:cs="宋体" w:hint="eastAsia"/>
                <w:kern w:val="0"/>
                <w:sz w:val="22"/>
              </w:rPr>
              <w:t xml:space="preserve"> 年度资金总额：</w:t>
            </w:r>
          </w:p>
        </w:tc>
        <w:tc>
          <w:tcPr>
            <w:tcW w:w="332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66.80 </w:t>
            </w:r>
          </w:p>
        </w:tc>
        <w:tc>
          <w:tcPr>
            <w:tcW w:w="11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rPr>
            </w:pPr>
            <w:r>
              <w:rPr>
                <w:rFonts w:ascii="宋体" w:cs="宋体" w:hint="eastAsia"/>
                <w:kern w:val="0"/>
                <w:sz w:val="22"/>
              </w:rPr>
              <w:t>执行率</w:t>
              <w:br/>
              <w:t>分值（10）</w:t>
            </w:r>
          </w:p>
        </w:tc>
      </w:tr>
      <w:tr>
        <w:trPr>
          <w:trHeight w:val="439"/>
        </w:trPr>
        <w:tc>
          <w:tcPr>
            <w:tcW w:w="1700" w:type="dxa"/>
            <w:gridSpan w:val="2"/>
            <w:vMerge/>
            <w:tcBorders>
              <w:top w:val="single" w:sz="4" w:space="0" w:color="auto"/>
              <w:left w:val="single" w:sz="4" w:space="0" w:color="auto"/>
              <w:bottom w:val="single" w:sz="4" w:space="0" w:color="000000"/>
              <w:right w:val="single" w:sz="4" w:space="0" w:color="000000"/>
            </w:tcBorders>
            <w:vAlign w:val="center"/>
          </w:tcPr>
          <w:p/>
        </w:tc>
        <w:tc>
          <w:tcPr>
            <w:tcW w:w="298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其中：财政拨款</w:t>
            </w:r>
          </w:p>
        </w:tc>
        <w:tc>
          <w:tcPr>
            <w:tcW w:w="332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66.80 </w:t>
            </w:r>
          </w:p>
        </w:tc>
        <w:tc>
          <w:tcPr>
            <w:tcW w:w="1180" w:type="dxa"/>
            <w:vMerge/>
            <w:tcBorders>
              <w:top w:val="nil"/>
              <w:left w:val="single" w:sz="4" w:space="0" w:color="auto"/>
              <w:bottom w:val="single" w:sz="4" w:space="0" w:color="000000"/>
              <w:right w:val="single" w:sz="4" w:space="0" w:color="auto"/>
            </w:tcBorders>
            <w:vAlign w:val="center"/>
          </w:tcPr>
          <w:p/>
        </w:tc>
      </w:tr>
      <w:tr>
        <w:trPr>
          <w:trHeight w:val="439"/>
        </w:trPr>
        <w:tc>
          <w:tcPr>
            <w:tcW w:w="1700" w:type="dxa"/>
            <w:gridSpan w:val="2"/>
            <w:vMerge/>
            <w:tcBorders>
              <w:top w:val="single" w:sz="4" w:space="0" w:color="auto"/>
              <w:left w:val="single" w:sz="4" w:space="0" w:color="auto"/>
              <w:bottom w:val="single" w:sz="4" w:space="0" w:color="000000"/>
              <w:right w:val="single" w:sz="4" w:space="0" w:color="000000"/>
            </w:tcBorders>
            <w:vAlign w:val="center"/>
          </w:tcPr>
          <w:p/>
        </w:tc>
        <w:tc>
          <w:tcPr>
            <w:tcW w:w="298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上年结转</w:t>
            </w:r>
          </w:p>
        </w:tc>
        <w:tc>
          <w:tcPr>
            <w:tcW w:w="332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   </w:t>
            </w:r>
          </w:p>
        </w:tc>
        <w:tc>
          <w:tcPr>
            <w:tcW w:w="1180" w:type="dxa"/>
            <w:vMerge/>
            <w:tcBorders>
              <w:top w:val="nil"/>
              <w:left w:val="single" w:sz="4" w:space="0" w:color="auto"/>
              <w:bottom w:val="single" w:sz="4" w:space="0" w:color="000000"/>
              <w:right w:val="single" w:sz="4" w:space="0" w:color="auto"/>
            </w:tcBorders>
            <w:vAlign w:val="center"/>
          </w:tcPr>
          <w:p/>
        </w:tc>
      </w:tr>
      <w:tr>
        <w:trPr>
          <w:trHeight w:val="439"/>
        </w:trPr>
        <w:tc>
          <w:tcPr>
            <w:tcW w:w="1700" w:type="dxa"/>
            <w:gridSpan w:val="2"/>
            <w:vMerge/>
            <w:tcBorders>
              <w:top w:val="single" w:sz="4" w:space="0" w:color="auto"/>
              <w:left w:val="single" w:sz="4" w:space="0" w:color="auto"/>
              <w:bottom w:val="single" w:sz="4" w:space="0" w:color="000000"/>
              <w:right w:val="single" w:sz="4" w:space="0" w:color="000000"/>
            </w:tcBorders>
            <w:vAlign w:val="center"/>
          </w:tcPr>
          <w:p/>
        </w:tc>
        <w:tc>
          <w:tcPr>
            <w:tcW w:w="298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其他资金</w:t>
            </w:r>
          </w:p>
        </w:tc>
        <w:tc>
          <w:tcPr>
            <w:tcW w:w="332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   </w:t>
            </w:r>
          </w:p>
        </w:tc>
        <w:tc>
          <w:tcPr>
            <w:tcW w:w="1180" w:type="dxa"/>
            <w:vMerge/>
            <w:tcBorders>
              <w:top w:val="nil"/>
              <w:left w:val="single" w:sz="4" w:space="0" w:color="auto"/>
              <w:bottom w:val="single" w:sz="4" w:space="0" w:color="000000"/>
              <w:right w:val="single" w:sz="4" w:space="0" w:color="auto"/>
            </w:tcBorders>
            <w:vAlign w:val="center"/>
          </w:tcPr>
          <w:p/>
        </w:tc>
      </w:tr>
      <w:tr>
        <w:trPr>
          <w:trHeight w:val="2355"/>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年</w:t>
              <w:br/>
              <w:t>度</w:t>
              <w:br/>
              <w:t>总</w:t>
              <w:br/>
              <w:t>体</w:t>
              <w:br/>
              <w:t>目</w:t>
              <w:br/>
              <w:t>标</w:t>
            </w:r>
          </w:p>
        </w:tc>
        <w:tc>
          <w:tcPr>
            <w:tcW w:w="8620"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坚持合理分配使用原则，用于技术设备日常报废更新、修理维护和三级监控指挥中心日常运行维护有关费用。</w:t>
              <w:br/>
              <w:t>做好信息化设备国产化替代工作，按照设备配置标准，更新部分办公设备与监管设备。</w:t>
              <w:br/>
              <w:t>马尾海关三级监控指挥中心运维费用，三级监控指挥中心负责马尾海关辖区13个监管场所与1个对台旅检客运码头的监控指挥工作，目前指挥中心已建成运行八年，设备故障率有升高的趋势。运维费用包含指挥中心的技术运维人员费用，部分设备个更换费用等。</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绩</w:t>
              <w:br/>
              <w:t>效</w:t>
              <w:br/>
              <w:t>指</w:t>
              <w:br/>
              <w:t>标</w:t>
            </w:r>
          </w:p>
        </w:tc>
        <w:tc>
          <w:tcPr>
            <w:tcW w:w="1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一级指标</w:t>
            </w:r>
          </w:p>
        </w:tc>
        <w:tc>
          <w:tcPr>
            <w:tcW w:w="172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二级指标</w:t>
            </w:r>
          </w:p>
        </w:tc>
        <w:tc>
          <w:tcPr>
            <w:tcW w:w="2920"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三级指标</w:t>
            </w:r>
          </w:p>
        </w:tc>
        <w:tc>
          <w:tcPr>
            <w:tcW w:w="16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指标值</w:t>
            </w:r>
          </w:p>
        </w:tc>
        <w:tc>
          <w:tcPr>
            <w:tcW w:w="11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分值权重</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vMerge w:val="restart"/>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产出指标</w:t>
            </w:r>
          </w:p>
        </w:tc>
        <w:tc>
          <w:tcPr>
            <w:tcW w:w="172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数量指标</w:t>
            </w:r>
          </w:p>
        </w:tc>
        <w:tc>
          <w:tcPr>
            <w:tcW w:w="29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运维办公或监管场所</w:t>
            </w:r>
          </w:p>
        </w:tc>
        <w:tc>
          <w:tcPr>
            <w:tcW w:w="16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≥15个</w:t>
            </w:r>
          </w:p>
        </w:tc>
        <w:tc>
          <w:tcPr>
            <w:tcW w:w="11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vMerge/>
            <w:tcBorders>
              <w:top w:val="nil"/>
              <w:left w:val="nil"/>
              <w:bottom w:val="single" w:sz="4" w:space="0" w:color="auto"/>
              <w:right w:val="single" w:sz="4" w:space="0" w:color="auto"/>
            </w:tcBorders>
            <w:vAlign w:val="center"/>
          </w:tcPr>
          <w:p/>
        </w:tc>
        <w:tc>
          <w:tcPr>
            <w:tcW w:w="172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质量指标</w:t>
            </w:r>
          </w:p>
        </w:tc>
        <w:tc>
          <w:tcPr>
            <w:tcW w:w="29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设备正常使用率</w:t>
            </w:r>
          </w:p>
        </w:tc>
        <w:tc>
          <w:tcPr>
            <w:tcW w:w="16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≥97%</w:t>
            </w:r>
          </w:p>
        </w:tc>
        <w:tc>
          <w:tcPr>
            <w:tcW w:w="11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vMerge/>
            <w:tcBorders>
              <w:top w:val="nil"/>
              <w:left w:val="nil"/>
              <w:bottom w:val="single" w:sz="4" w:space="0" w:color="auto"/>
              <w:right w:val="single" w:sz="4" w:space="0" w:color="auto"/>
            </w:tcBorders>
            <w:vAlign w:val="center"/>
          </w:tcPr>
          <w:p/>
        </w:tc>
        <w:tc>
          <w:tcPr>
            <w:tcW w:w="172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时效指标</w:t>
            </w:r>
          </w:p>
        </w:tc>
        <w:tc>
          <w:tcPr>
            <w:tcW w:w="29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大型设备维修及时率</w:t>
            </w:r>
          </w:p>
        </w:tc>
        <w:tc>
          <w:tcPr>
            <w:tcW w:w="16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≥99%</w:t>
            </w:r>
          </w:p>
        </w:tc>
        <w:tc>
          <w:tcPr>
            <w:tcW w:w="11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效益指标</w:t>
            </w:r>
          </w:p>
        </w:tc>
        <w:tc>
          <w:tcPr>
            <w:tcW w:w="172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社会效益指标</w:t>
            </w:r>
          </w:p>
        </w:tc>
        <w:tc>
          <w:tcPr>
            <w:tcW w:w="29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关区核心业务基础保障能力</w:t>
            </w:r>
          </w:p>
        </w:tc>
        <w:tc>
          <w:tcPr>
            <w:tcW w:w="16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稳定</w:t>
            </w:r>
          </w:p>
        </w:tc>
        <w:tc>
          <w:tcPr>
            <w:tcW w:w="11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30</w:t>
            </w:r>
          </w:p>
        </w:tc>
      </w:tr>
      <w:tr>
        <w:trPr>
          <w:trHeight w:val="900"/>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满意度</w:t>
              <w:br/>
              <w:t>指标</w:t>
            </w:r>
          </w:p>
        </w:tc>
        <w:tc>
          <w:tcPr>
            <w:tcW w:w="172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服务对象</w:t>
              <w:br/>
              <w:t>满意度指标</w:t>
            </w:r>
          </w:p>
        </w:tc>
        <w:tc>
          <w:tcPr>
            <w:tcW w:w="29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设备使用人员满意度</w:t>
            </w:r>
          </w:p>
        </w:tc>
        <w:tc>
          <w:tcPr>
            <w:tcW w:w="16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≥99%</w:t>
            </w:r>
          </w:p>
        </w:tc>
        <w:tc>
          <w:tcPr>
            <w:tcW w:w="11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10</w:t>
            </w:r>
          </w:p>
        </w:tc>
      </w:tr>
    </w:tbl>
    <w:p>
      <w:pPr>
        <w:jc w:val="left"/>
        <w:rPr>
          <w:rFonts w:ascii="Times New Roman" w:eastAsia="方正仿宋_GBK" w:hAnsi="Times New Roman"/>
          <w:sz w:val="32"/>
          <w:szCs w:val="32"/>
        </w:rPr>
      </w:pPr>
    </w:p>
    <w:p>
      <w:pPr>
        <w:widowControl/>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Ind w:w="91" w:type="dxa"/>
        <w:tblW w:w="934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140"/>
        <w:gridCol w:w="1780"/>
        <w:gridCol w:w="1040"/>
        <w:gridCol w:w="2080"/>
        <w:gridCol w:w="1460"/>
        <w:gridCol w:w="1280"/>
      </w:tblGrid>
      <w:tr>
        <w:trPr>
          <w:trHeight w:val="702"/>
        </w:trPr>
        <w:tc>
          <w:tcPr>
            <w:tcW w:w="9340"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bookmarkStart w:id="3" w:name="RANGE!A1:G18"/>
            <w:r>
              <w:rPr>
                <w:rFonts w:ascii="黑体" w:eastAsia="黑体" w:cs="宋体" w:hint="eastAsia"/>
                <w:kern w:val="0"/>
                <w:sz w:val="32"/>
                <w:szCs w:val="32"/>
              </w:rPr>
              <w:t>项目绩效目标表</w:t>
            </w:r>
            <w:bookmarkEnd w:id="3"/>
          </w:p>
        </w:tc>
      </w:tr>
      <w:tr>
        <w:trPr>
          <w:trHeight w:val="499"/>
        </w:trPr>
        <w:tc>
          <w:tcPr>
            <w:tcW w:w="9340" w:type="dxa"/>
            <w:gridSpan w:val="7"/>
            <w:tcBorders>
              <w:top w:val="nil"/>
              <w:left w:val="nil"/>
              <w:bottom w:val="nil"/>
              <w:right w:val="nil"/>
            </w:tcBorders>
            <w:shd w:val="clear" w:color="auto" w:fill="auto"/>
          </w:tcPr>
          <w:p>
            <w:pPr>
              <w:widowControl/>
              <w:jc w:val="center"/>
              <w:rPr>
                <w:rFonts w:ascii="宋体" w:cs="宋体"/>
                <w:kern w:val="0"/>
                <w:sz w:val="24"/>
                <w:szCs w:val="24"/>
              </w:rPr>
            </w:pPr>
            <w:r>
              <w:rPr>
                <w:rFonts w:ascii="宋体" w:cs="宋体" w:hint="eastAsia"/>
                <w:kern w:val="0"/>
                <w:sz w:val="24"/>
                <w:szCs w:val="24"/>
              </w:rPr>
              <w:t>（2024年度）</w:t>
            </w:r>
          </w:p>
        </w:tc>
      </w:tr>
      <w:tr>
        <w:trPr>
          <w:trHeight w:val="439"/>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项目名称</w:t>
            </w:r>
          </w:p>
        </w:tc>
        <w:tc>
          <w:tcPr>
            <w:tcW w:w="7640"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进出口食品及化妆品安全专项</w:t>
            </w:r>
          </w:p>
        </w:tc>
      </w:tr>
      <w:tr>
        <w:trPr>
          <w:trHeight w:val="439"/>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主管部门及代码</w:t>
            </w:r>
          </w:p>
        </w:tc>
        <w:tc>
          <w:tcPr>
            <w:tcW w:w="282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[167]海关总署</w:t>
            </w:r>
          </w:p>
        </w:tc>
        <w:tc>
          <w:tcPr>
            <w:tcW w:w="208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实施单位</w:t>
            </w:r>
          </w:p>
        </w:tc>
        <w:tc>
          <w:tcPr>
            <w:tcW w:w="2740"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中华人民共和国马尾海关</w:t>
            </w:r>
          </w:p>
        </w:tc>
      </w:tr>
      <w:tr>
        <w:trPr>
          <w:trHeight w:val="439"/>
        </w:trPr>
        <w:tc>
          <w:tcPr>
            <w:tcW w:w="17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rPr>
            </w:pPr>
            <w:r>
              <w:rPr>
                <w:rFonts w:ascii="宋体" w:cs="宋体" w:hint="eastAsia"/>
                <w:kern w:val="0"/>
                <w:sz w:val="22"/>
              </w:rPr>
              <w:t>项目资金</w:t>
              <w:br/>
              <w:t>（万元）</w:t>
            </w:r>
          </w:p>
        </w:tc>
        <w:tc>
          <w:tcPr>
            <w:tcW w:w="282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left"/>
              <w:rPr>
                <w:rFonts w:ascii="宋体" w:cs="宋体"/>
                <w:kern w:val="0"/>
                <w:sz w:val="22"/>
              </w:rPr>
            </w:pPr>
            <w:r>
              <w:rPr>
                <w:rFonts w:ascii="宋体" w:cs="宋体" w:hint="eastAsia"/>
                <w:kern w:val="0"/>
                <w:sz w:val="22"/>
              </w:rPr>
              <w:t xml:space="preserve"> 年度资金总额：</w:t>
            </w:r>
          </w:p>
        </w:tc>
        <w:tc>
          <w:tcPr>
            <w:tcW w:w="354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4.00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rPr>
            </w:pPr>
            <w:r>
              <w:rPr>
                <w:rFonts w:ascii="宋体" w:cs="宋体" w:hint="eastAsia"/>
                <w:kern w:val="0"/>
                <w:sz w:val="22"/>
              </w:rPr>
              <w:t>执行率</w:t>
              <w:br/>
              <w:t>分值（10）</w:t>
            </w:r>
          </w:p>
        </w:tc>
      </w:tr>
      <w:tr>
        <w:trPr>
          <w:trHeight w:val="439"/>
        </w:trPr>
        <w:tc>
          <w:tcPr>
            <w:tcW w:w="1700" w:type="dxa"/>
            <w:gridSpan w:val="2"/>
            <w:vMerge/>
            <w:tcBorders>
              <w:top w:val="single" w:sz="4" w:space="0" w:color="auto"/>
              <w:left w:val="single" w:sz="4" w:space="0" w:color="auto"/>
              <w:bottom w:val="single" w:sz="4" w:space="0" w:color="000000"/>
              <w:right w:val="single" w:sz="4" w:space="0" w:color="000000"/>
            </w:tcBorders>
            <w:vAlign w:val="center"/>
          </w:tcPr>
          <w:p/>
        </w:tc>
        <w:tc>
          <w:tcPr>
            <w:tcW w:w="282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其中：财政拨款</w:t>
            </w:r>
          </w:p>
        </w:tc>
        <w:tc>
          <w:tcPr>
            <w:tcW w:w="354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4.00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700" w:type="dxa"/>
            <w:gridSpan w:val="2"/>
            <w:vMerge/>
            <w:tcBorders>
              <w:top w:val="single" w:sz="4" w:space="0" w:color="auto"/>
              <w:left w:val="single" w:sz="4" w:space="0" w:color="auto"/>
              <w:bottom w:val="single" w:sz="4" w:space="0" w:color="000000"/>
              <w:right w:val="single" w:sz="4" w:space="0" w:color="000000"/>
            </w:tcBorders>
            <w:vAlign w:val="center"/>
          </w:tcPr>
          <w:p/>
        </w:tc>
        <w:tc>
          <w:tcPr>
            <w:tcW w:w="282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上年结转</w:t>
            </w:r>
          </w:p>
        </w:tc>
        <w:tc>
          <w:tcPr>
            <w:tcW w:w="354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700" w:type="dxa"/>
            <w:gridSpan w:val="2"/>
            <w:vMerge/>
            <w:tcBorders>
              <w:top w:val="single" w:sz="4" w:space="0" w:color="auto"/>
              <w:left w:val="single" w:sz="4" w:space="0" w:color="auto"/>
              <w:bottom w:val="single" w:sz="4" w:space="0" w:color="000000"/>
              <w:right w:val="single" w:sz="4" w:space="0" w:color="000000"/>
            </w:tcBorders>
            <w:vAlign w:val="center"/>
          </w:tcPr>
          <w:p/>
        </w:tc>
        <w:tc>
          <w:tcPr>
            <w:tcW w:w="282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其他资金</w:t>
            </w:r>
          </w:p>
        </w:tc>
        <w:tc>
          <w:tcPr>
            <w:tcW w:w="354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2250"/>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年</w:t>
              <w:br/>
              <w:t>度</w:t>
              <w:br/>
              <w:t>总</w:t>
              <w:br/>
              <w:t>体</w:t>
              <w:br/>
              <w:t>目</w:t>
              <w:br/>
              <w:t>标</w:t>
            </w:r>
          </w:p>
        </w:tc>
        <w:tc>
          <w:tcPr>
            <w:tcW w:w="8780"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目标1.组织实施对进出口食品化妆品的检验检疫监督管理，保障食品化妆品安全；</w:t>
              <w:br/>
              <w:t>目标2.对境外发生的食品化妆品安全事件可能对我国境内造成影响，或者在接到执行管理部门通报进口食品化妆品中发现严重安全问题的，组织实施安全风险分析和紧急预防措施工作；</w:t>
              <w:br/>
              <w:t xml:space="preserve">目标3.按照总署食品局部署，开展国内外食品化妆品技术法规收集与分析，开展进出口食品化妆品安全风险信息收集、汇总工作。                                                           </w:t>
              <w:br/>
              <w:t xml:space="preserve"> 目标4.对食品化妆品安全监管人员进行专业培训，提高监管人员政策水平与业务能力。</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绩</w:t>
              <w:br/>
              <w:t>效</w:t>
              <w:br/>
              <w:t>指</w:t>
              <w:br/>
              <w:t>标</w:t>
            </w:r>
          </w:p>
        </w:tc>
        <w:tc>
          <w:tcPr>
            <w:tcW w:w="1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一级指标</w:t>
            </w:r>
          </w:p>
        </w:tc>
        <w:tc>
          <w:tcPr>
            <w:tcW w:w="17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二级指标</w:t>
            </w: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三级指标</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分值权重</w:t>
              <w:br/>
              <w:t>（90）</w:t>
            </w:r>
          </w:p>
        </w:tc>
      </w:tr>
      <w:tr>
        <w:trPr>
          <w:trHeight w:val="705"/>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vMerge w:val="restart"/>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产出指标</w:t>
            </w:r>
          </w:p>
        </w:tc>
        <w:tc>
          <w:tcPr>
            <w:tcW w:w="17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数量指标</w:t>
            </w: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对执行管理部门通报的重大食品安全事件处置率</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8</w:t>
            </w:r>
          </w:p>
        </w:tc>
      </w:tr>
      <w:tr>
        <w:trPr>
          <w:trHeight w:val="660"/>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vMerge/>
            <w:tcBorders>
              <w:top w:val="nil"/>
              <w:left w:val="nil"/>
              <w:bottom w:val="single" w:sz="4" w:space="0" w:color="auto"/>
              <w:right w:val="single" w:sz="4" w:space="0" w:color="auto"/>
            </w:tcBorders>
            <w:vAlign w:val="center"/>
          </w:tcPr>
          <w:p/>
        </w:tc>
        <w:tc>
          <w:tcPr>
            <w:tcW w:w="1780" w:type="dxa"/>
            <w:vMerge/>
            <w:tcBorders>
              <w:top w:val="nil"/>
              <w:left w:val="single" w:sz="4" w:space="0" w:color="auto"/>
              <w:bottom w:val="single" w:sz="4" w:space="0" w:color="auto"/>
              <w:right w:val="single" w:sz="4" w:space="0" w:color="auto"/>
            </w:tcBorders>
            <w:vAlign w:val="center"/>
          </w:tcP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进出口食品化妆品安全知识宣传</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9</w:t>
            </w:r>
          </w:p>
        </w:tc>
      </w:tr>
      <w:tr>
        <w:trPr>
          <w:trHeight w:val="675"/>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vMerge/>
            <w:tcBorders>
              <w:top w:val="nil"/>
              <w:left w:val="nil"/>
              <w:bottom w:val="single" w:sz="4" w:space="0" w:color="auto"/>
              <w:right w:val="single" w:sz="4" w:space="0" w:color="auto"/>
            </w:tcBorders>
            <w:vAlign w:val="center"/>
          </w:tcPr>
          <w:p/>
        </w:tc>
        <w:tc>
          <w:tcPr>
            <w:tcW w:w="1780" w:type="dxa"/>
            <w:vMerge/>
            <w:tcBorders>
              <w:top w:val="nil"/>
              <w:left w:val="single" w:sz="4" w:space="0" w:color="auto"/>
              <w:bottom w:val="single" w:sz="4" w:space="0" w:color="auto"/>
              <w:right w:val="single" w:sz="4" w:space="0" w:color="auto"/>
            </w:tcBorders>
            <w:vAlign w:val="center"/>
          </w:tcP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组织进出口食品安全监管岗位培训</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9</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vMerge/>
            <w:tcBorders>
              <w:top w:val="nil"/>
              <w:left w:val="nil"/>
              <w:bottom w:val="single" w:sz="4" w:space="0" w:color="auto"/>
              <w:right w:val="single" w:sz="4" w:space="0" w:color="auto"/>
            </w:tcBorders>
            <w:vAlign w:val="center"/>
          </w:tcPr>
          <w:p/>
        </w:tc>
        <w:tc>
          <w:tcPr>
            <w:tcW w:w="17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质量指标</w:t>
            </w: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监管人员业务培训覆盖率</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8</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vMerge/>
            <w:tcBorders>
              <w:top w:val="nil"/>
              <w:left w:val="nil"/>
              <w:bottom w:val="single" w:sz="4" w:space="0" w:color="auto"/>
              <w:right w:val="single" w:sz="4" w:space="0" w:color="auto"/>
            </w:tcBorders>
            <w:vAlign w:val="center"/>
          </w:tcPr>
          <w:p/>
        </w:tc>
        <w:tc>
          <w:tcPr>
            <w:tcW w:w="1780" w:type="dxa"/>
            <w:vMerge/>
            <w:tcBorders>
              <w:top w:val="nil"/>
              <w:left w:val="single" w:sz="4" w:space="0" w:color="auto"/>
              <w:bottom w:val="single" w:sz="4" w:space="0" w:color="auto"/>
              <w:right w:val="single" w:sz="4" w:space="0" w:color="auto"/>
            </w:tcBorders>
            <w:vAlign w:val="center"/>
          </w:tcP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业务培训合格率</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≥80%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8</w:t>
            </w:r>
          </w:p>
        </w:tc>
      </w:tr>
      <w:tr>
        <w:trPr>
          <w:trHeight w:val="765"/>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vMerge/>
            <w:tcBorders>
              <w:top w:val="nil"/>
              <w:left w:val="nil"/>
              <w:bottom w:val="single" w:sz="4" w:space="0" w:color="auto"/>
              <w:right w:val="single" w:sz="4" w:space="0" w:color="auto"/>
            </w:tcBorders>
            <w:vAlign w:val="center"/>
          </w:tcPr>
          <w:p/>
        </w:tc>
        <w:tc>
          <w:tcPr>
            <w:tcW w:w="1780" w:type="dxa"/>
            <w:vMerge/>
            <w:tcBorders>
              <w:top w:val="nil"/>
              <w:left w:val="single" w:sz="4" w:space="0" w:color="auto"/>
              <w:bottom w:val="single" w:sz="4" w:space="0" w:color="auto"/>
              <w:right w:val="single" w:sz="4" w:space="0" w:color="auto"/>
            </w:tcBorders>
            <w:vAlign w:val="center"/>
          </w:tcP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年度进出口食品化妆品监督抽检和风险监测计划完成率（%）</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≥80%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8</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效益指标</w:t>
            </w:r>
          </w:p>
        </w:tc>
        <w:tc>
          <w:tcPr>
            <w:tcW w:w="17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社会效益指标</w:t>
            </w: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开展食品安全宣传周活动</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30</w:t>
            </w:r>
          </w:p>
        </w:tc>
      </w:tr>
      <w:tr>
        <w:trPr>
          <w:trHeight w:val="675"/>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满意度</w:t>
              <w:br/>
              <w:t>指标</w:t>
            </w:r>
          </w:p>
        </w:tc>
        <w:tc>
          <w:tcPr>
            <w:tcW w:w="17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服务对象</w:t>
              <w:br/>
              <w:t>满意度指标</w:t>
            </w: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参训人员满意度</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≥80%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10</w:t>
            </w:r>
          </w:p>
        </w:tc>
      </w:tr>
    </w:tbl>
    <w:p>
      <w:pPr>
        <w:jc w:val="left"/>
        <w:rPr>
          <w:rFonts w:ascii="Times New Roman" w:eastAsia="方正仿宋_GBK" w:hAnsi="Times New Roman"/>
          <w:sz w:val="32"/>
          <w:szCs w:val="32"/>
        </w:rPr>
      </w:pPr>
    </w:p>
    <w:p>
      <w:pPr>
        <w:widowControl/>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Ind w:w="91" w:type="dxa"/>
        <w:tblW w:w="882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940"/>
        <w:gridCol w:w="1460"/>
        <w:gridCol w:w="880"/>
        <w:gridCol w:w="2240"/>
        <w:gridCol w:w="1460"/>
        <w:gridCol w:w="1280"/>
      </w:tblGrid>
      <w:tr>
        <w:trPr>
          <w:trHeight w:val="702"/>
        </w:trPr>
        <w:tc>
          <w:tcPr>
            <w:tcW w:w="8820"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bookmarkStart w:id="4" w:name="RANGE!A1:G19"/>
            <w:r>
              <w:rPr>
                <w:rFonts w:ascii="黑体" w:eastAsia="黑体" w:cs="宋体" w:hint="eastAsia"/>
                <w:kern w:val="0"/>
                <w:sz w:val="32"/>
                <w:szCs w:val="32"/>
              </w:rPr>
              <w:t>项目绩效目标表</w:t>
            </w:r>
            <w:bookmarkEnd w:id="4"/>
          </w:p>
        </w:tc>
      </w:tr>
      <w:tr>
        <w:trPr>
          <w:trHeight w:val="499"/>
        </w:trPr>
        <w:tc>
          <w:tcPr>
            <w:tcW w:w="8820" w:type="dxa"/>
            <w:gridSpan w:val="7"/>
            <w:tcBorders>
              <w:top w:val="nil"/>
              <w:left w:val="nil"/>
              <w:bottom w:val="nil"/>
              <w:right w:val="nil"/>
            </w:tcBorders>
            <w:shd w:val="clear" w:color="auto" w:fill="auto"/>
          </w:tcPr>
          <w:p>
            <w:pPr>
              <w:widowControl/>
              <w:jc w:val="center"/>
              <w:rPr>
                <w:rFonts w:ascii="宋体" w:cs="宋体"/>
                <w:kern w:val="0"/>
                <w:sz w:val="24"/>
                <w:szCs w:val="24"/>
              </w:rPr>
            </w:pPr>
            <w:r>
              <w:rPr>
                <w:rFonts w:ascii="宋体" w:cs="宋体" w:hint="eastAsia"/>
                <w:kern w:val="0"/>
                <w:sz w:val="24"/>
                <w:szCs w:val="24"/>
              </w:rPr>
              <w:t>（2024年度）</w:t>
            </w:r>
          </w:p>
        </w:tc>
      </w:tr>
      <w:tr>
        <w:trPr>
          <w:trHeight w:val="439"/>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项目名称</w:t>
            </w:r>
          </w:p>
        </w:tc>
        <w:tc>
          <w:tcPr>
            <w:tcW w:w="7320"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口岸公共卫生安全专项</w:t>
            </w:r>
          </w:p>
        </w:tc>
      </w:tr>
      <w:tr>
        <w:trPr>
          <w:trHeight w:val="439"/>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主管部门及代码</w:t>
            </w:r>
          </w:p>
        </w:tc>
        <w:tc>
          <w:tcPr>
            <w:tcW w:w="234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实施单位</w:t>
            </w:r>
          </w:p>
        </w:tc>
        <w:tc>
          <w:tcPr>
            <w:tcW w:w="2740"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中华人民共和国马尾海关</w:t>
            </w:r>
          </w:p>
        </w:tc>
      </w:tr>
      <w:tr>
        <w:trPr>
          <w:trHeight w:val="439"/>
        </w:trPr>
        <w:tc>
          <w:tcPr>
            <w:tcW w:w="15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rPr>
            </w:pPr>
            <w:r>
              <w:rPr>
                <w:rFonts w:ascii="宋体" w:cs="宋体" w:hint="eastAsia"/>
                <w:kern w:val="0"/>
                <w:sz w:val="22"/>
              </w:rPr>
              <w:t>项目资金</w:t>
              <w:br/>
              <w:t>（万元）</w:t>
            </w: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left"/>
              <w:rPr>
                <w:rFonts w:ascii="宋体" w:cs="宋体"/>
                <w:kern w:val="0"/>
                <w:sz w:val="22"/>
              </w:rPr>
            </w:pPr>
            <w:r>
              <w:rPr>
                <w:rFonts w:ascii="宋体" w:cs="宋体" w:hint="eastAsia"/>
                <w:kern w:val="0"/>
                <w:sz w:val="22"/>
              </w:rPr>
              <w:t xml:space="preserve"> 年度资金总额：</w:t>
            </w:r>
          </w:p>
        </w:tc>
        <w:tc>
          <w:tcPr>
            <w:tcW w:w="370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3.50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rPr>
            </w:pPr>
            <w:r>
              <w:rPr>
                <w:rFonts w:ascii="宋体" w:cs="宋体" w:hint="eastAsia"/>
                <w:kern w:val="0"/>
                <w:sz w:val="22"/>
              </w:rPr>
              <w:t>执行率</w:t>
              <w:br/>
              <w:t>分值（10）</w:t>
            </w:r>
          </w:p>
        </w:tc>
      </w:tr>
      <w:tr>
        <w:trPr>
          <w:trHeight w:val="439"/>
        </w:trPr>
        <w:tc>
          <w:tcPr>
            <w:tcW w:w="1500" w:type="dxa"/>
            <w:gridSpan w:val="2"/>
            <w:vMerge/>
            <w:tcBorders>
              <w:top w:val="single" w:sz="4" w:space="0" w:color="auto"/>
              <w:left w:val="single" w:sz="4" w:space="0" w:color="auto"/>
              <w:bottom w:val="single" w:sz="4" w:space="0" w:color="000000"/>
              <w:right w:val="single" w:sz="4" w:space="0" w:color="000000"/>
            </w:tcBorders>
            <w:vAlign w:val="center"/>
          </w:tc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其中：财政拨款</w:t>
            </w:r>
          </w:p>
        </w:tc>
        <w:tc>
          <w:tcPr>
            <w:tcW w:w="370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3.50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500" w:type="dxa"/>
            <w:gridSpan w:val="2"/>
            <w:vMerge/>
            <w:tcBorders>
              <w:top w:val="single" w:sz="4" w:space="0" w:color="auto"/>
              <w:left w:val="single" w:sz="4" w:space="0" w:color="auto"/>
              <w:bottom w:val="single" w:sz="4" w:space="0" w:color="000000"/>
              <w:right w:val="single" w:sz="4" w:space="0" w:color="000000"/>
            </w:tcBorders>
            <w:vAlign w:val="center"/>
          </w:tc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上年结转</w:t>
            </w:r>
          </w:p>
        </w:tc>
        <w:tc>
          <w:tcPr>
            <w:tcW w:w="370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500" w:type="dxa"/>
            <w:gridSpan w:val="2"/>
            <w:vMerge/>
            <w:tcBorders>
              <w:top w:val="single" w:sz="4" w:space="0" w:color="auto"/>
              <w:left w:val="single" w:sz="4" w:space="0" w:color="auto"/>
              <w:bottom w:val="single" w:sz="4" w:space="0" w:color="000000"/>
              <w:right w:val="single" w:sz="4" w:space="0" w:color="000000"/>
            </w:tcBorders>
            <w:vAlign w:val="center"/>
          </w:tcPr>
          <w:p/>
        </w:tc>
        <w:tc>
          <w:tcPr>
            <w:tcW w:w="234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right"/>
              <w:rPr>
                <w:rFonts w:ascii="宋体" w:cs="宋体"/>
                <w:kern w:val="0"/>
                <w:sz w:val="22"/>
              </w:rPr>
            </w:pPr>
            <w:r>
              <w:rPr>
                <w:rFonts w:ascii="宋体" w:cs="宋体" w:hint="eastAsia"/>
                <w:kern w:val="0"/>
                <w:sz w:val="22"/>
              </w:rPr>
              <w:t>其他资金</w:t>
            </w:r>
          </w:p>
        </w:tc>
        <w:tc>
          <w:tcPr>
            <w:tcW w:w="370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rPr>
            </w:pPr>
            <w:r>
              <w:rPr>
                <w:rFonts w:ascii="宋体" w:cs="宋体" w:hint="eastAsia"/>
                <w:kern w:val="0"/>
                <w:sz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年</w:t>
              <w:br/>
              <w:t>度</w:t>
              <w:br/>
              <w:t>总</w:t>
              <w:br/>
              <w:t>体</w:t>
              <w:br/>
              <w:t>目</w:t>
              <w:br/>
              <w:t>标</w:t>
            </w:r>
          </w:p>
        </w:tc>
        <w:tc>
          <w:tcPr>
            <w:tcW w:w="8260"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目标1：完成口岸卫生监督工作，巩固传染病疫情防控能力基础，完成年度外来传染病检测常规工作任务，保障国家公共卫生安全；</w:t>
              <w:br/>
              <w:t>目标2：对境内外传染病疫情风险进行监控，防范输入型传染病传入传出；</w:t>
              <w:br/>
              <w:t>目标3：对传染病防控相关知识进行普及性宣传，提高人民群众防范重大传染病的意识。</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绩</w:t>
              <w:br/>
              <w:t>效</w:t>
              <w:br/>
              <w:t>指</w:t>
              <w:br/>
              <w:t>标</w:t>
            </w:r>
          </w:p>
        </w:tc>
        <w:tc>
          <w:tcPr>
            <w:tcW w:w="9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一级指标</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二级指标</w:t>
            </w: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三级指标</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分值权重</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940" w:type="dxa"/>
            <w:vMerge w:val="restart"/>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产出指标</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数量指标</w:t>
            </w: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外来传染病监测点</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≥1个</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9</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940" w:type="dxa"/>
            <w:vMerge/>
            <w:tcBorders>
              <w:top w:val="nil"/>
              <w:left w:val="nil"/>
              <w:bottom w:val="single" w:sz="4" w:space="0" w:color="auto"/>
              <w:right w:val="single" w:sz="4" w:space="0" w:color="auto"/>
            </w:tcBorders>
            <w:vAlign w:val="center"/>
          </w:tcPr>
          <w:p/>
        </w:tc>
        <w:tc>
          <w:tcPr>
            <w:tcW w:w="1460" w:type="dxa"/>
            <w:vMerge/>
            <w:tcBorders>
              <w:top w:val="nil"/>
              <w:left w:val="single" w:sz="4" w:space="0" w:color="auto"/>
              <w:bottom w:val="single" w:sz="4" w:space="0" w:color="auto"/>
              <w:right w:val="single" w:sz="4" w:space="0" w:color="auto"/>
            </w:tcBorders>
            <w:vAlign w:val="center"/>
          </w:tcP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重大传染病防控宣传</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7</w:t>
            </w:r>
          </w:p>
        </w:tc>
      </w:tr>
      <w:tr>
        <w:trPr>
          <w:trHeight w:val="675"/>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940" w:type="dxa"/>
            <w:vMerge/>
            <w:tcBorders>
              <w:top w:val="nil"/>
              <w:left w:val="nil"/>
              <w:bottom w:val="single" w:sz="4" w:space="0" w:color="auto"/>
              <w:right w:val="single" w:sz="4" w:space="0" w:color="auto"/>
            </w:tcBorders>
            <w:vAlign w:val="center"/>
          </w:tcPr>
          <w:p/>
        </w:tc>
        <w:tc>
          <w:tcPr>
            <w:tcW w:w="1460" w:type="dxa"/>
            <w:vMerge/>
            <w:tcBorders>
              <w:top w:val="nil"/>
              <w:left w:val="single" w:sz="4" w:space="0" w:color="auto"/>
              <w:bottom w:val="single" w:sz="4" w:space="0" w:color="auto"/>
              <w:right w:val="single" w:sz="4" w:space="0" w:color="auto"/>
            </w:tcBorders>
            <w:vAlign w:val="center"/>
          </w:tcP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外来传染病疫情风险监控（次）</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≥1次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4</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940" w:type="dxa"/>
            <w:vMerge/>
            <w:tcBorders>
              <w:top w:val="nil"/>
              <w:left w:val="nil"/>
              <w:bottom w:val="single" w:sz="4" w:space="0" w:color="auto"/>
              <w:right w:val="single" w:sz="4" w:space="0" w:color="auto"/>
            </w:tcBorders>
            <w:vAlign w:val="center"/>
          </w:tcPr>
          <w:p/>
        </w:tc>
        <w:tc>
          <w:tcPr>
            <w:tcW w:w="146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质量指标</w:t>
            </w: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口岸核心能力动态管理率</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≥80%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7</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940" w:type="dxa"/>
            <w:vMerge/>
            <w:tcBorders>
              <w:top w:val="nil"/>
              <w:left w:val="nil"/>
              <w:bottom w:val="single" w:sz="4" w:space="0" w:color="auto"/>
              <w:right w:val="single" w:sz="4" w:space="0" w:color="auto"/>
            </w:tcBorders>
            <w:vAlign w:val="center"/>
          </w:tcPr>
          <w:p/>
        </w:tc>
        <w:tc>
          <w:tcPr>
            <w:tcW w:w="1460" w:type="dxa"/>
            <w:vMerge/>
            <w:tcBorders>
              <w:top w:val="nil"/>
              <w:left w:val="single" w:sz="4" w:space="0" w:color="auto"/>
              <w:bottom w:val="single" w:sz="4" w:space="0" w:color="auto"/>
              <w:right w:val="single" w:sz="4" w:space="0" w:color="auto"/>
            </w:tcBorders>
            <w:vAlign w:val="center"/>
          </w:tcP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病媒生物监测覆盖率</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≥80%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7</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940" w:type="dxa"/>
            <w:vMerge/>
            <w:tcBorders>
              <w:top w:val="nil"/>
              <w:left w:val="nil"/>
              <w:bottom w:val="single" w:sz="4" w:space="0" w:color="auto"/>
              <w:right w:val="single" w:sz="4" w:space="0" w:color="auto"/>
            </w:tcBorders>
            <w:vAlign w:val="center"/>
          </w:tcPr>
          <w:p/>
        </w:tc>
        <w:tc>
          <w:tcPr>
            <w:tcW w:w="146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时效指标</w:t>
            </w: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外来传染病监测按期完成率</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8</w:t>
            </w:r>
          </w:p>
        </w:tc>
      </w:tr>
      <w:tr>
        <w:trPr>
          <w:trHeight w:val="735"/>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940" w:type="dxa"/>
            <w:vMerge/>
            <w:tcBorders>
              <w:top w:val="nil"/>
              <w:left w:val="nil"/>
              <w:bottom w:val="single" w:sz="4" w:space="0" w:color="auto"/>
              <w:right w:val="single" w:sz="4" w:space="0" w:color="auto"/>
            </w:tcBorders>
            <w:vAlign w:val="center"/>
          </w:tcPr>
          <w:p/>
        </w:tc>
        <w:tc>
          <w:tcPr>
            <w:tcW w:w="1460" w:type="dxa"/>
            <w:vMerge/>
            <w:tcBorders>
              <w:top w:val="nil"/>
              <w:left w:val="single" w:sz="4" w:space="0" w:color="auto"/>
              <w:bottom w:val="single" w:sz="4" w:space="0" w:color="auto"/>
              <w:right w:val="single" w:sz="4" w:space="0" w:color="auto"/>
            </w:tcBorders>
            <w:vAlign w:val="center"/>
          </w:tcP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传染病疫情风险监控按期完成率</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8</w:t>
            </w:r>
          </w:p>
        </w:tc>
      </w:tr>
      <w:tr>
        <w:trPr>
          <w:trHeight w:val="645"/>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940" w:type="dxa"/>
            <w:vMerge w:val="restart"/>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效益指标</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社会效益指标</w:t>
            </w: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入境特殊物品生物安全风险防控</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940" w:type="dxa"/>
            <w:vMerge/>
            <w:tcBorders>
              <w:top w:val="nil"/>
              <w:left w:val="nil"/>
              <w:bottom w:val="single" w:sz="4" w:space="0" w:color="auto"/>
              <w:right w:val="single" w:sz="4" w:space="0" w:color="auto"/>
            </w:tcBorders>
            <w:vAlign w:val="center"/>
          </w:tcPr>
          <w:p/>
        </w:tc>
        <w:tc>
          <w:tcPr>
            <w:tcW w:w="1460" w:type="dxa"/>
            <w:vMerge/>
            <w:tcBorders>
              <w:top w:val="nil"/>
              <w:left w:val="single" w:sz="4" w:space="0" w:color="auto"/>
              <w:bottom w:val="single" w:sz="4" w:space="0" w:color="auto"/>
              <w:right w:val="single" w:sz="4" w:space="0" w:color="auto"/>
            </w:tcBorders>
            <w:vAlign w:val="center"/>
          </w:tcP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rPr>
            </w:pPr>
            <w:r>
              <w:rPr>
                <w:rFonts w:ascii="宋体" w:cs="宋体" w:hint="eastAsia"/>
                <w:kern w:val="0"/>
                <w:sz w:val="22"/>
              </w:rPr>
              <w:t>重大输入型传染病疫情防控</w:t>
            </w:r>
          </w:p>
        </w:tc>
        <w:tc>
          <w:tcPr>
            <w:tcW w:w="146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rPr>
            </w:pPr>
            <w:r>
              <w:rPr>
                <w:rFonts w:ascii="宋体" w:cs="宋体" w:hint="eastAsia"/>
                <w:kern w:val="0"/>
                <w:sz w:val="22"/>
              </w:rPr>
              <w:t>20</w:t>
            </w:r>
          </w:p>
        </w:tc>
      </w:tr>
    </w:tbl>
    <w:p>
      <w:pPr>
        <w:jc w:val="left"/>
        <w:rPr>
          <w:rFonts w:ascii="Times New Roman" w:eastAsia="方正仿宋_GBK" w:hAnsi="Times New Roman"/>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微软雅黑">
    <w:altName w:val="汉仪旗黑"/>
    <w:panose1 w:val="020B0503020204020204"/>
    <w:charset w:val="86"/>
    <w:family w:val="swiss"/>
    <w:pitch w:val="variable"/>
    <w:sig w:usb0="80000287" w:usb1="280F3C52" w:usb2="00000016" w:usb3="00000000" w:csb0="0004001F" w:csb1="00000000"/>
  </w:font>
  <w:font w:name="方正楷体_GBK">
    <w:panose1 w:val="03000509000000000000"/>
    <w:charset w:val="86"/>
    <w:family w:val="script"/>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7"/>
      </w:tabs>
    </w:pPr>
    <w:r>
      <mc:AlternateContent>
        <mc:Choice Requires="wps">
          <w:drawing>
            <wp:anchor distT="0" distB="0" distL="114297" distR="114297" simplePos="0" relativeHeight="19" behindDoc="0" locked="0" layoutInCell="1" hidden="0" allowOverlap="1">
              <wp:simplePos x="0" y="0"/>
              <wp:positionH relativeFrom="margin">
                <wp:align>center</wp:align>
              </wp:positionH>
              <wp:positionV relativeFrom="paragraph">
                <wp:posOffset>0</wp:posOffset>
              </wp:positionV>
              <wp:extent cx="128778" cy="155193"/>
              <wp:effectExtent l="0" t="0" r="0" b="0"/>
              <wp:wrapNone/>
              <wp:docPr id="4" name="文本框 3 6"/>
              <wp:cNvGraphicFramePr>
                <a:graphicFrameLocks noChangeAspect="0"/>
              </wp:cNvGraphicFramePr>
              <a:graphic>
                <a:graphicData uri="http://schemas.microsoft.com/office/word/2010/wordprocessingShape">
                  <wps:wsp>
                    <wps:cNvSpPr/>
                    <wps:spPr>
                      <a:xfrm rot="0">
                        <a:off x="0" y="0"/>
                        <a:ext cx="128778" cy="155193"/>
                      </a:xfrm>
                      <a:prstGeom prst="rect"/>
                      <a:noFill/>
                      <a:ln w="9525" cmpd="sng" cap="flat">
                        <a:noFill/>
                        <a:prstDash val="solid"/>
                        <a:miter/>
                      </a:ln>
                    </wps:spPr>
                    <wps:txbx id="5">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22</w:t>
                          </w:r>
                          <w:r>
                            <w:rPr>
                              <w:sz w:val="20"/>
                              <w:szCs w:val="24"/>
                            </w:rPr>
                            <w:fldChar w:fldCharType="end"/>
                          </w:r>
                        </w:p>
                      </w:txbxContent>
                    </wps:txbx>
                    <wps:bodyPr vert="horz" wrap="none" lIns="0" tIns="0" rIns="0" bIns="0" anchor="t" anchorCtr="0" upright="1">
                      <a:spAutoFit/>
                    </wps:bodyPr>
                  </wps:wsp>
                </a:graphicData>
              </a:graphic>
            </wp:anchor>
          </w:drawing>
        </mc:Choice>
        <mc:Fallback>
          <w:pict>
            <v:shape type="#_x0000_t202" id="文本框 3 6 6" o:spid="_x0000_s6" filled="f" stroked="f" style="position:absolute;margin-left:0.0pt;margin-top:0.0pt;width:10.140043pt;height:12.219998pt;z-index:19;mso-position-horizontal:center;mso-position-horizontal-relative:margin;mso-position-vertical:absolute;mso-wrap-distance-left:8.99983pt;mso-wrap-distance-right:8.99983pt;mso-wrap-style:none;">
              <v:stroke color="#000000"/>
              <v:textbox id="853" inset="0mm,0mm,0mm,0mm" o:insetmode="custom" style="layout-flow:horizontal;v-text-anchor:top;mso-fit-shape-to-text:t;">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22</w:t>
                    </w:r>
                    <w:r>
                      <w:rPr>
                        <w:sz w:val="20"/>
                        <w:szCs w:val="24"/>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gzMTdhNDA0ZGNiMmM4ZmMwMjQ4MjZlOTc3MmMwMj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header"/>
    <w:basedOn w:val="0"/>
    <w:pPr>
      <w:tabs>
        <w:tab w:val="center" w:pos="4153"/>
        <w:tab w:val="right" w:pos="8306"/>
      </w:tabs>
      <w:snapToGrid w:val="0"/>
    </w:pPr>
    <w:rPr>
      <w:sz w:val="18"/>
    </w:rPr>
  </w:style>
  <w:style w:type="character" w:styleId="17">
    <w:name w:val="page number"/>
    <w:basedOn w:val="10"/>
  </w:style>
  <w:style w:type="paragraph" w:customStyle="1" w:styleId="18">
    <w:name w:val="样式 4 10 磅"/>
    <w:basedOn w:val="0"/>
    <w:rPr>
      <w:rFonts w:ascii="Times New Roman" w:cs="Times New Roman" w:hAnsi="Times New Roman"/>
      <w:szCs w:val="21"/>
    </w:rPr>
  </w:style>
  <w:style w:type="paragraph" w:customStyle="1" w:styleId="19">
    <w:name w:val="样式 51 10 磅"/>
    <w:basedOn w:val="0"/>
    <w:rPr>
      <w:rFonts w:ascii="Times New Roman" w:cs="Times New Roman" w:hAnsi="Times New Roman"/>
      <w:szCs w:val="21"/>
    </w:rPr>
  </w:style>
  <w:style w:type="paragraph" w:customStyle="1" w:styleId="20">
    <w:name w:val="样式 36 10 磅"/>
    <w:basedOn w:val="0"/>
    <w:rPr>
      <w:rFonts w:ascii="Times New Roman" w:cs="Times New Roman" w:hAnsi="Times New Roman"/>
      <w:szCs w:val="21"/>
    </w:rPr>
  </w:style>
  <w:style w:type="paragraph" w:customStyle="1" w:styleId="21">
    <w:name w:val="样式 49 10 磅"/>
    <w:basedOn w:val="0"/>
    <w:rPr>
      <w:rFonts w:ascii="Times New Roman" w:cs="Times New Roman" w:hAnsi="Times New Roman"/>
      <w:szCs w:val="21"/>
    </w:rPr>
  </w:style>
  <w:style w:type="character" w:customStyle="1" w:styleId="22">
    <w:name w:val="font41"/>
    <w:basedOn w:val="10"/>
    <w:rPr>
      <w:rFonts w:ascii="宋体" w:eastAsia="宋体" w:cs="宋体"/>
      <w:color w:val="000000"/>
      <w:sz w:val="22"/>
      <w:szCs w:val="22"/>
      <w:u w:val="none"/>
    </w:rPr>
  </w:style>
  <w:style w:type="character" w:customStyle="1" w:styleId="23">
    <w:name w:val="font61"/>
    <w:basedOn w:val="10"/>
    <w:rPr>
      <w:rFonts w:ascii="宋体" w:eastAsia="宋体" w:cs="宋体"/>
      <w:color w:val="000000"/>
      <w:sz w:val="22"/>
      <w:szCs w:val="22"/>
      <w:u w:val="none"/>
    </w:rPr>
  </w:style>
  <w:style w:type="character" w:customStyle="1" w:styleId="24">
    <w:name w:val="font71"/>
    <w:basedOn w:val="10"/>
    <w:rPr>
      <w:rFonts w:ascii="Times New Roman" w:cs="Times New Roman" w:hAnsi="Times New Roman"/>
      <w:color w:val="000000"/>
      <w:sz w:val="22"/>
      <w:szCs w:val="22"/>
      <w:u w:val="none"/>
    </w:rPr>
  </w:style>
  <w:style w:type="character" w:customStyle="1" w:styleId="25">
    <w:name w:val="font51"/>
    <w:basedOn w:val="10"/>
    <w:rPr>
      <w:rFonts w:ascii="宋体" w:eastAsia="宋体" w:cs="宋体"/>
      <w:color w:val="000000"/>
      <w:sz w:val="22"/>
      <w:szCs w:val="22"/>
      <w:u w:val="none"/>
    </w:rPr>
  </w:style>
  <w:style w:type="character" w:customStyle="1" w:styleId="26">
    <w:name w:val="font01"/>
    <w:basedOn w:val="10"/>
    <w:rPr>
      <w:rFonts w:ascii="宋体" w:eastAsia="宋体" w:cs="宋体"/>
      <w:color w:val="000000"/>
      <w:sz w:val="22"/>
      <w:szCs w:val="22"/>
      <w:u w:val="none"/>
    </w:rPr>
  </w:style>
  <w:style w:type="paragraph" w:customStyle="1" w:styleId="27">
    <w:name w:val="样式 2 10 磅"/>
    <w:basedOn w:val="0"/>
    <w:rPr>
      <w:rFonts w:ascii="Times New Roman" w:cs="Times New Roman" w:hAnsi="Times New Roman"/>
      <w:szCs w:val="21"/>
    </w:rPr>
  </w:style>
  <w:style w:type="paragraph" w:customStyle="1" w:styleId="28">
    <w:name w:val="样式 1 10 磅"/>
    <w:basedOn w:val="0"/>
    <w:rPr>
      <w:rFonts w:ascii="Times New Roman" w:cs="Times New Roman" w:hAnsi="Times New Roman"/>
      <w:szCs w:val="21"/>
    </w:rPr>
  </w:style>
  <w:style w:type="paragraph" w:styleId="29">
    <w:name w:val="Balloon Text"/>
    <w:basedOn w:val="0"/>
    <w:rPr>
      <w:sz w:val="18"/>
      <w:szCs w:val="18"/>
    </w:rPr>
  </w:style>
  <w:style w:type="paragraph" w:customStyle="1" w:styleId="30">
    <w:name w:val="List Paragraph"/>
    <w:basedOn w:val="0"/>
    <w:pPr>
      <w:ind w:firstLineChars="200" w:firstLine="200"/>
    </w:pPr>
  </w:style>
  <w:style w:type="paragraph" w:customStyle="1" w:styleId="135">
    <w:name w:val="样式 10 磅"/>
    <w:pPr>
      <w:widowControl w:val="0"/>
      <w:jc w:val="both"/>
    </w:pPr>
    <w:rPr>
      <w:rFonts w:ascii="Calibri" w:eastAsia="宋体" w:cs="Arial" w:hAnsi="Calibri"/>
      <w:kern w:val="2"/>
      <w:sz w:val="21"/>
      <w:szCs w:val="22"/>
      <w:lang w:val="en-US" w:eastAsia="zh-CN" w:bidi="ar-SA"/>
    </w:rPr>
  </w:style>
  <w:style w:type="paragraph" w:customStyle="1" w:styleId="136">
    <w:name w:val="样式 3 10 磅"/>
    <w:pPr>
      <w:widowControl w:val="0"/>
      <w:jc w:val="both"/>
    </w:pPr>
    <w:rPr>
      <w:rFonts w:ascii="Calibri" w:eastAsia="宋体" w:cs="Arial" w:hAnsi="Calibri"/>
      <w:kern w:val="2"/>
      <w:sz w:val="21"/>
      <w:szCs w:val="22"/>
      <w:lang w:val="en-US" w:eastAsia="zh-CN" w:bidi="ar-SA"/>
    </w:rPr>
  </w:style>
  <w:style w:type="paragraph" w:customStyle="1" w:styleId="137">
    <w:name w:val="样式 5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footer" Target="footer1.xml"/><Relationship Id="rId4" Type="http://schemas.openxmlformats.org/officeDocument/2006/relationships/image" Target="media/8.png"/><Relationship Id="rId5" Type="http://schemas.openxmlformats.org/officeDocument/2006/relationships/image" Target="media/11.png"/><Relationship Id="rId6" Type="http://schemas.openxmlformats.org/officeDocument/2006/relationships/image" Target="media/14.png"/><Relationship Id="rId7" Type="http://schemas.openxmlformats.org/officeDocument/2006/relationships/image" Target="media/17.png"/><Relationship Id="rId8" Type="http://schemas.openxmlformats.org/officeDocument/2006/relationships/styles" Target="styles.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760</TotalTime>
  <Application>Yozo_Office</Application>
  <Pages>38</Pages>
  <Words>9495</Words>
  <Characters>11848</Characters>
  <Lines>1734</Lines>
  <Paragraphs>923</Paragraphs>
  <CharactersWithSpaces>13149</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杨师群</cp:lastModifiedBy>
  <cp:revision>25</cp:revision>
  <cp:lastPrinted>2023-05-04T03:32:00Z</cp:lastPrinted>
  <dcterms:created xsi:type="dcterms:W3CDTF">2024-04-19T03:10:00Z</dcterms:created>
  <dcterms:modified xsi:type="dcterms:W3CDTF">2026-06-12T03:42:04Z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549C4AFD17B24936AA0EF0C3A256E8AB</vt:lpwstr>
  </property>
</Properties>
</file>